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8C" w:rsidRPr="006D0712" w:rsidRDefault="00415603">
      <w:pPr>
        <w:rPr>
          <w:rFonts w:ascii="Arial Narrow" w:hAnsi="Arial Narrow"/>
          <w:sz w:val="24"/>
          <w:szCs w:val="24"/>
          <w:u w:val="single"/>
        </w:rPr>
      </w:pPr>
      <w:r w:rsidRPr="006D0712">
        <w:rPr>
          <w:rFonts w:ascii="Arial Narrow" w:hAnsi="Arial Narrow"/>
          <w:sz w:val="24"/>
          <w:szCs w:val="24"/>
          <w:u w:val="single"/>
        </w:rPr>
        <w:t>Year 7 catch up funding</w:t>
      </w:r>
    </w:p>
    <w:p w:rsidR="00415603" w:rsidRPr="006D0712" w:rsidRDefault="00415603">
      <w:pPr>
        <w:rPr>
          <w:rFonts w:ascii="Arial Narrow" w:hAnsi="Arial Narrow"/>
          <w:sz w:val="24"/>
          <w:szCs w:val="24"/>
          <w:u w:val="single"/>
        </w:rPr>
      </w:pPr>
    </w:p>
    <w:p w:rsidR="00415603" w:rsidRPr="006D0712" w:rsidRDefault="00415603">
      <w:pPr>
        <w:rPr>
          <w:rFonts w:ascii="Arial Narrow" w:hAnsi="Arial Narrow"/>
          <w:sz w:val="24"/>
          <w:szCs w:val="24"/>
        </w:rPr>
      </w:pPr>
      <w:r w:rsidRPr="006D0712">
        <w:rPr>
          <w:rFonts w:ascii="Arial Narrow" w:hAnsi="Arial Narrow"/>
          <w:sz w:val="24"/>
          <w:szCs w:val="24"/>
        </w:rPr>
        <w:t>The literacy and numeracy catch-up premium gives state-funded schools, additional funding to support year 7 pupils who did not achieve the expected standard in reading or maths at the end of key stage 2 (KS2).</w:t>
      </w:r>
    </w:p>
    <w:p w:rsidR="00693A0F" w:rsidRPr="006D0712" w:rsidRDefault="00415603" w:rsidP="00415603">
      <w:pPr>
        <w:rPr>
          <w:rFonts w:ascii="Arial Narrow" w:hAnsi="Arial Narrow"/>
          <w:sz w:val="24"/>
          <w:szCs w:val="24"/>
        </w:rPr>
      </w:pPr>
      <w:r w:rsidRPr="006D0712">
        <w:rPr>
          <w:rFonts w:ascii="Arial Narrow" w:hAnsi="Arial Narrow"/>
          <w:sz w:val="24"/>
          <w:szCs w:val="24"/>
        </w:rPr>
        <w:t xml:space="preserve">Sandhill View </w:t>
      </w:r>
      <w:r w:rsidR="008C772B" w:rsidRPr="006D0712">
        <w:rPr>
          <w:rFonts w:ascii="Arial Narrow" w:hAnsi="Arial Narrow"/>
          <w:sz w:val="24"/>
          <w:szCs w:val="24"/>
        </w:rPr>
        <w:t xml:space="preserve">Academy </w:t>
      </w:r>
      <w:r w:rsidRPr="006D0712">
        <w:rPr>
          <w:rFonts w:ascii="Arial Narrow" w:hAnsi="Arial Narrow"/>
          <w:sz w:val="24"/>
          <w:szCs w:val="24"/>
        </w:rPr>
        <w:t xml:space="preserve">received additional funding of £12,986 for </w:t>
      </w:r>
      <w:r w:rsidR="00693A0F" w:rsidRPr="006D0712">
        <w:rPr>
          <w:rFonts w:ascii="Arial Narrow" w:hAnsi="Arial Narrow"/>
          <w:sz w:val="24"/>
          <w:szCs w:val="24"/>
        </w:rPr>
        <w:t>our</w:t>
      </w:r>
      <w:r w:rsidRPr="006D0712">
        <w:rPr>
          <w:rFonts w:ascii="Arial Narrow" w:hAnsi="Arial Narrow"/>
          <w:sz w:val="24"/>
          <w:szCs w:val="24"/>
        </w:rPr>
        <w:t xml:space="preserve"> Year 7 </w:t>
      </w:r>
      <w:r w:rsidR="00693A0F" w:rsidRPr="006D0712">
        <w:rPr>
          <w:rFonts w:ascii="Arial Narrow" w:hAnsi="Arial Narrow"/>
          <w:sz w:val="24"/>
          <w:szCs w:val="24"/>
        </w:rPr>
        <w:t xml:space="preserve">students </w:t>
      </w:r>
      <w:r w:rsidRPr="006D0712">
        <w:rPr>
          <w:rFonts w:ascii="Arial Narrow" w:hAnsi="Arial Narrow"/>
          <w:sz w:val="24"/>
          <w:szCs w:val="24"/>
        </w:rPr>
        <w:t>who did not achieve 'expec</w:t>
      </w:r>
      <w:r w:rsidR="006A09C4" w:rsidRPr="006D0712">
        <w:rPr>
          <w:rFonts w:ascii="Arial Narrow" w:hAnsi="Arial Narrow"/>
          <w:sz w:val="24"/>
          <w:szCs w:val="24"/>
        </w:rPr>
        <w:t>ted' for the academic year 2018-</w:t>
      </w:r>
      <w:r w:rsidRPr="006D0712">
        <w:rPr>
          <w:rFonts w:ascii="Arial Narrow" w:hAnsi="Arial Narrow"/>
          <w:sz w:val="24"/>
          <w:szCs w:val="24"/>
        </w:rPr>
        <w:t>2019</w:t>
      </w:r>
      <w:r w:rsidR="006A09C4" w:rsidRPr="006D0712">
        <w:rPr>
          <w:rFonts w:ascii="Arial Narrow" w:hAnsi="Arial Narrow"/>
          <w:sz w:val="24"/>
          <w:szCs w:val="24"/>
        </w:rPr>
        <w:t>.</w:t>
      </w:r>
      <w:r w:rsidRPr="006D0712">
        <w:rPr>
          <w:rFonts w:ascii="Arial Narrow" w:hAnsi="Arial Narrow"/>
          <w:sz w:val="24"/>
          <w:szCs w:val="24"/>
        </w:rPr>
        <w:t xml:space="preserve"> </w:t>
      </w:r>
    </w:p>
    <w:p w:rsidR="00415603" w:rsidRPr="006D0712" w:rsidRDefault="00693A0F" w:rsidP="00415603">
      <w:pPr>
        <w:rPr>
          <w:rFonts w:ascii="Arial Narrow" w:hAnsi="Arial Narrow"/>
          <w:sz w:val="24"/>
          <w:szCs w:val="24"/>
        </w:rPr>
      </w:pPr>
      <w:r w:rsidRPr="006D0712">
        <w:rPr>
          <w:rFonts w:ascii="Arial Narrow" w:hAnsi="Arial Narrow"/>
          <w:sz w:val="24"/>
          <w:szCs w:val="24"/>
        </w:rPr>
        <w:t>This</w:t>
      </w:r>
      <w:r w:rsidR="00415603" w:rsidRPr="006D0712">
        <w:rPr>
          <w:rFonts w:ascii="Arial Narrow" w:hAnsi="Arial Narrow"/>
          <w:sz w:val="24"/>
          <w:szCs w:val="24"/>
        </w:rPr>
        <w:t xml:space="preserve"> additional </w:t>
      </w:r>
      <w:r w:rsidRPr="006D0712">
        <w:rPr>
          <w:rFonts w:ascii="Arial Narrow" w:hAnsi="Arial Narrow"/>
          <w:sz w:val="24"/>
          <w:szCs w:val="24"/>
        </w:rPr>
        <w:t xml:space="preserve">grant has been primarily used for targeted interventions to aid in raising attainment </w:t>
      </w:r>
      <w:r w:rsidR="00415603" w:rsidRPr="006D0712">
        <w:rPr>
          <w:rFonts w:ascii="Arial Narrow" w:hAnsi="Arial Narrow"/>
          <w:sz w:val="24"/>
          <w:szCs w:val="24"/>
        </w:rPr>
        <w:t xml:space="preserve">and develop a curriculum that supports the needs for all our </w:t>
      </w:r>
      <w:r w:rsidRPr="006D0712">
        <w:rPr>
          <w:rFonts w:ascii="Arial Narrow" w:hAnsi="Arial Narrow"/>
          <w:sz w:val="24"/>
          <w:szCs w:val="24"/>
        </w:rPr>
        <w:t xml:space="preserve">pupils. Thus narrowing the gap to students who achieved the expected standard at KS2. </w:t>
      </w:r>
    </w:p>
    <w:p w:rsidR="006A09C4" w:rsidRPr="006D0712" w:rsidRDefault="006A09C4" w:rsidP="00415603">
      <w:pPr>
        <w:rPr>
          <w:rFonts w:ascii="Arial Narrow" w:hAnsi="Arial Narrow"/>
          <w:sz w:val="24"/>
          <w:szCs w:val="24"/>
        </w:rPr>
      </w:pPr>
      <w:r w:rsidRPr="006D0712">
        <w:rPr>
          <w:rFonts w:ascii="Arial Narrow" w:hAnsi="Arial Narrow"/>
          <w:sz w:val="24"/>
          <w:szCs w:val="24"/>
        </w:rPr>
        <w:t xml:space="preserve">The £12, 986 funding allocated contributes to </w:t>
      </w:r>
      <w:r w:rsidR="008F6E0D">
        <w:rPr>
          <w:rFonts w:ascii="Arial Narrow" w:hAnsi="Arial Narrow"/>
          <w:sz w:val="24"/>
          <w:szCs w:val="24"/>
        </w:rPr>
        <w:t>the much greater cost of providing generous</w:t>
      </w:r>
      <w:r w:rsidRPr="006D0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712">
        <w:rPr>
          <w:rFonts w:ascii="Arial Narrow" w:hAnsi="Arial Narrow"/>
          <w:sz w:val="24"/>
          <w:szCs w:val="24"/>
        </w:rPr>
        <w:t>staff</w:t>
      </w:r>
      <w:proofErr w:type="gramStart"/>
      <w:r w:rsidRPr="006D0712">
        <w:rPr>
          <w:rFonts w:ascii="Arial Narrow" w:hAnsi="Arial Narrow"/>
          <w:sz w:val="24"/>
          <w:szCs w:val="24"/>
        </w:rPr>
        <w:t>:student</w:t>
      </w:r>
      <w:proofErr w:type="spellEnd"/>
      <w:proofErr w:type="gramEnd"/>
      <w:r w:rsidRPr="006D0712">
        <w:rPr>
          <w:rFonts w:ascii="Arial Narrow" w:hAnsi="Arial Narrow"/>
          <w:sz w:val="24"/>
          <w:szCs w:val="24"/>
        </w:rPr>
        <w:t xml:space="preserve"> ratios and </w:t>
      </w:r>
      <w:r w:rsidR="008F6E0D">
        <w:rPr>
          <w:rFonts w:ascii="Arial Narrow" w:hAnsi="Arial Narrow"/>
          <w:sz w:val="24"/>
          <w:szCs w:val="24"/>
        </w:rPr>
        <w:t>appointing specialist</w:t>
      </w:r>
      <w:r w:rsidRPr="006D0712">
        <w:rPr>
          <w:rFonts w:ascii="Arial Narrow" w:hAnsi="Arial Narrow"/>
          <w:sz w:val="24"/>
          <w:szCs w:val="24"/>
        </w:rPr>
        <w:t xml:space="preserve"> learning support staff</w:t>
      </w:r>
      <w:r w:rsidR="008B3E58" w:rsidRPr="006D0712">
        <w:rPr>
          <w:rFonts w:ascii="Arial Narrow" w:hAnsi="Arial Narrow"/>
          <w:sz w:val="24"/>
          <w:szCs w:val="24"/>
        </w:rPr>
        <w:t xml:space="preserve"> to lead and manage</w:t>
      </w:r>
      <w:r w:rsidRPr="006D0712">
        <w:rPr>
          <w:rFonts w:ascii="Arial Narrow" w:hAnsi="Arial Narrow"/>
          <w:sz w:val="24"/>
          <w:szCs w:val="24"/>
        </w:rPr>
        <w:t xml:space="preserve"> in</w:t>
      </w:r>
      <w:r w:rsidR="008B3E58" w:rsidRPr="006D0712">
        <w:rPr>
          <w:rFonts w:ascii="Arial Narrow" w:hAnsi="Arial Narrow"/>
          <w:sz w:val="24"/>
          <w:szCs w:val="24"/>
        </w:rPr>
        <w:t xml:space="preserve">-house interventions that are based on the needs of our students. </w:t>
      </w:r>
    </w:p>
    <w:p w:rsidR="00415603" w:rsidRPr="006D0712" w:rsidRDefault="00415603">
      <w:pPr>
        <w:rPr>
          <w:rFonts w:ascii="Arial Narrow" w:hAnsi="Arial Narrow"/>
          <w:sz w:val="24"/>
          <w:szCs w:val="24"/>
          <w:u w:val="single"/>
        </w:rPr>
      </w:pPr>
      <w:r w:rsidRPr="006D0712">
        <w:rPr>
          <w:rFonts w:ascii="Arial Narrow" w:hAnsi="Arial Narrow"/>
          <w:sz w:val="24"/>
          <w:szCs w:val="24"/>
          <w:u w:val="single"/>
        </w:rPr>
        <w:t xml:space="preserve">Literacy </w:t>
      </w:r>
      <w:proofErr w:type="gramStart"/>
      <w:r w:rsidRPr="006D0712">
        <w:rPr>
          <w:rFonts w:ascii="Arial Narrow" w:hAnsi="Arial Narrow"/>
          <w:sz w:val="24"/>
          <w:szCs w:val="24"/>
          <w:u w:val="single"/>
        </w:rPr>
        <w:t>catch</w:t>
      </w:r>
      <w:proofErr w:type="gramEnd"/>
      <w:r w:rsidRPr="006D0712">
        <w:rPr>
          <w:rFonts w:ascii="Arial Narrow" w:hAnsi="Arial Narrow"/>
          <w:sz w:val="24"/>
          <w:szCs w:val="24"/>
          <w:u w:val="single"/>
        </w:rPr>
        <w:t xml:space="preserve"> up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2114"/>
        <w:gridCol w:w="4018"/>
        <w:gridCol w:w="2693"/>
      </w:tblGrid>
      <w:tr w:rsidR="006A09C4" w:rsidRPr="006D0712" w:rsidTr="006D0712">
        <w:tc>
          <w:tcPr>
            <w:tcW w:w="1631" w:type="dxa"/>
          </w:tcPr>
          <w:p w:rsidR="006A09C4" w:rsidRPr="006D0712" w:rsidRDefault="006A09C4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/>
                <w:sz w:val="24"/>
                <w:szCs w:val="24"/>
              </w:rPr>
              <w:t>Intervention</w:t>
            </w:r>
          </w:p>
        </w:tc>
        <w:tc>
          <w:tcPr>
            <w:tcW w:w="2114" w:type="dxa"/>
          </w:tcPr>
          <w:p w:rsidR="006A09C4" w:rsidRPr="006D0712" w:rsidRDefault="006A09C4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/>
                <w:sz w:val="24"/>
                <w:szCs w:val="24"/>
              </w:rPr>
              <w:t>Strategy</w:t>
            </w:r>
          </w:p>
        </w:tc>
        <w:tc>
          <w:tcPr>
            <w:tcW w:w="4018" w:type="dxa"/>
          </w:tcPr>
          <w:p w:rsidR="006A09C4" w:rsidRPr="006D0712" w:rsidRDefault="006A09C4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/>
                <w:sz w:val="24"/>
                <w:szCs w:val="24"/>
              </w:rPr>
              <w:t>Application</w:t>
            </w:r>
          </w:p>
        </w:tc>
        <w:tc>
          <w:tcPr>
            <w:tcW w:w="2693" w:type="dxa"/>
          </w:tcPr>
          <w:p w:rsidR="006A09C4" w:rsidRPr="006D0712" w:rsidRDefault="006A09C4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/>
                <w:sz w:val="24"/>
                <w:szCs w:val="24"/>
              </w:rPr>
              <w:t>Cost</w:t>
            </w:r>
          </w:p>
        </w:tc>
      </w:tr>
      <w:tr w:rsidR="006A09C4" w:rsidRPr="006D0712" w:rsidTr="006D0712">
        <w:tc>
          <w:tcPr>
            <w:tcW w:w="1631" w:type="dxa"/>
          </w:tcPr>
          <w:p w:rsidR="006A09C4" w:rsidRPr="006D0712" w:rsidRDefault="006A09C4" w:rsidP="002B0AE3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RISE lessons</w:t>
            </w:r>
          </w:p>
        </w:tc>
        <w:tc>
          <w:tcPr>
            <w:tcW w:w="2114" w:type="dxa"/>
          </w:tcPr>
          <w:p w:rsidR="006A09C4" w:rsidRPr="006D0712" w:rsidRDefault="006A09C4" w:rsidP="00415603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All KS3 students have one lesson a week allocated specifically dedicated to reading and reading skills.</w:t>
            </w:r>
          </w:p>
        </w:tc>
        <w:tc>
          <w:tcPr>
            <w:tcW w:w="4018" w:type="dxa"/>
          </w:tcPr>
          <w:p w:rsidR="006A09C4" w:rsidRPr="006D0712" w:rsidRDefault="006A09C4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Delivered by English specialists with skill focus each week - to build confidence in reading aloud, vocabulary and SPAG skills.</w:t>
            </w:r>
          </w:p>
        </w:tc>
        <w:tc>
          <w:tcPr>
            <w:tcW w:w="2693" w:type="dxa"/>
          </w:tcPr>
          <w:p w:rsidR="006A09C4" w:rsidRPr="006D0712" w:rsidRDefault="006A09C4">
            <w:pPr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TLR payment (Reading coordinator)</w:t>
            </w:r>
          </w:p>
        </w:tc>
      </w:tr>
      <w:tr w:rsidR="006A09C4" w:rsidRPr="006D0712" w:rsidTr="006D0712">
        <w:tc>
          <w:tcPr>
            <w:tcW w:w="1631" w:type="dxa"/>
          </w:tcPr>
          <w:p w:rsidR="006A09C4" w:rsidRPr="006D0712" w:rsidRDefault="006A09C4" w:rsidP="002B0AE3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LEXIA reading programme</w:t>
            </w:r>
          </w:p>
        </w:tc>
        <w:tc>
          <w:tcPr>
            <w:tcW w:w="2114" w:type="dxa"/>
          </w:tcPr>
          <w:p w:rsidR="006A09C4" w:rsidRPr="006D0712" w:rsidRDefault="006A09C4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Reading programme individually tailored through testing specifically for </w:t>
            </w:r>
            <w:proofErr w:type="gramStart"/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pupils</w:t>
            </w:r>
            <w:proofErr w:type="gramEnd"/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 ability.</w:t>
            </w:r>
          </w:p>
        </w:tc>
        <w:tc>
          <w:tcPr>
            <w:tcW w:w="4018" w:type="dxa"/>
          </w:tcPr>
          <w:p w:rsidR="006A09C4" w:rsidRPr="006D0712" w:rsidRDefault="006A09C4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Delivered in a dedicated intervention session by LEXIA trained SEN support staff. Students work </w:t>
            </w:r>
            <w:proofErr w:type="gramStart"/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independently at their own pace</w:t>
            </w:r>
            <w:proofErr w:type="gramEnd"/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 and are regularly tested for progress.</w:t>
            </w:r>
          </w:p>
        </w:tc>
        <w:tc>
          <w:tcPr>
            <w:tcW w:w="2693" w:type="dxa"/>
          </w:tcPr>
          <w:p w:rsidR="006A09C4" w:rsidRPr="006D0712" w:rsidRDefault="006A09C4">
            <w:pPr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£1000</w:t>
            </w:r>
          </w:p>
        </w:tc>
      </w:tr>
      <w:tr w:rsidR="006A09C4" w:rsidRPr="006D0712" w:rsidTr="006D0712">
        <w:tc>
          <w:tcPr>
            <w:tcW w:w="1631" w:type="dxa"/>
          </w:tcPr>
          <w:p w:rsidR="006A09C4" w:rsidRPr="006D0712" w:rsidRDefault="006A09C4" w:rsidP="006D0712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One to One Reading </w:t>
            </w:r>
            <w:r w:rsidR="006D0712"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interventions</w:t>
            </w:r>
          </w:p>
        </w:tc>
        <w:tc>
          <w:tcPr>
            <w:tcW w:w="2114" w:type="dxa"/>
          </w:tcPr>
          <w:p w:rsidR="006A09C4" w:rsidRPr="006D0712" w:rsidRDefault="006A09C4">
            <w:pPr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Focused reading based on ability and reading age. Pupils targeted based on reading scores and KS2 data.</w:t>
            </w:r>
          </w:p>
          <w:p w:rsidR="006D0712" w:rsidRPr="006D0712" w:rsidRDefault="006D0712" w:rsidP="006D0712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(Phonics support, Alpha to Omega programme for specific students receiving HLTA support)</w:t>
            </w:r>
          </w:p>
        </w:tc>
        <w:tc>
          <w:tcPr>
            <w:tcW w:w="4018" w:type="dxa"/>
          </w:tcPr>
          <w:p w:rsidR="006A09C4" w:rsidRPr="006D0712" w:rsidRDefault="006A09C4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Delivered by LSA reading specialists - to improve understanding, ability to read aloud and application of reading skills essential to access the KS3 curriculum across the school.</w:t>
            </w:r>
          </w:p>
        </w:tc>
        <w:tc>
          <w:tcPr>
            <w:tcW w:w="2693" w:type="dxa"/>
          </w:tcPr>
          <w:p w:rsidR="006A09C4" w:rsidRPr="006D0712" w:rsidRDefault="008B3E58">
            <w:pPr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Salary costs</w:t>
            </w:r>
          </w:p>
        </w:tc>
      </w:tr>
      <w:tr w:rsidR="006A09C4" w:rsidRPr="006D0712" w:rsidTr="006D0712">
        <w:tc>
          <w:tcPr>
            <w:tcW w:w="1631" w:type="dxa"/>
          </w:tcPr>
          <w:p w:rsidR="006A09C4" w:rsidRPr="006D0712" w:rsidRDefault="006A09C4" w:rsidP="002B0AE3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Literacy Mentors</w:t>
            </w:r>
          </w:p>
        </w:tc>
        <w:tc>
          <w:tcPr>
            <w:tcW w:w="2114" w:type="dxa"/>
          </w:tcPr>
          <w:p w:rsidR="006A09C4" w:rsidRPr="006D0712" w:rsidRDefault="006A09C4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Reciprocal reading programme in groups of 4 with Year 10 mentors - specifically trained for the task.</w:t>
            </w:r>
          </w:p>
        </w:tc>
        <w:tc>
          <w:tcPr>
            <w:tcW w:w="4018" w:type="dxa"/>
          </w:tcPr>
          <w:p w:rsidR="006A09C4" w:rsidRPr="006D0712" w:rsidRDefault="006A09C4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Pupils given the opportunity to read in groups and each pupil is</w:t>
            </w:r>
            <w:proofErr w:type="gramEnd"/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 given a role to fulfil in order to improve text comprehension.</w:t>
            </w:r>
          </w:p>
        </w:tc>
        <w:tc>
          <w:tcPr>
            <w:tcW w:w="2693" w:type="dxa"/>
          </w:tcPr>
          <w:p w:rsidR="006A09C4" w:rsidRPr="006D0712" w:rsidRDefault="008B3E58">
            <w:pPr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Salary costs</w:t>
            </w:r>
          </w:p>
        </w:tc>
      </w:tr>
      <w:tr w:rsidR="006A09C4" w:rsidRPr="006D0712" w:rsidTr="006D0712">
        <w:tc>
          <w:tcPr>
            <w:tcW w:w="1631" w:type="dxa"/>
          </w:tcPr>
          <w:p w:rsidR="006A09C4" w:rsidRPr="006D0712" w:rsidRDefault="008B3E58" w:rsidP="002B0AE3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Nurture transition</w:t>
            </w:r>
            <w:r w:rsidR="006A09C4"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 curriculum group taught by a primary specialist.</w:t>
            </w:r>
          </w:p>
        </w:tc>
        <w:tc>
          <w:tcPr>
            <w:tcW w:w="2114" w:type="dxa"/>
          </w:tcPr>
          <w:p w:rsidR="006A09C4" w:rsidRPr="006D0712" w:rsidRDefault="006A09C4" w:rsidP="008B3E58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Primary </w:t>
            </w:r>
            <w:r w:rsidR="008B3E58"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trained </w:t>
            </w: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teacher delivering both KS2 and KS3 curriculum to bridge gaps and prepare pupils for KS4.</w:t>
            </w:r>
          </w:p>
        </w:tc>
        <w:tc>
          <w:tcPr>
            <w:tcW w:w="4018" w:type="dxa"/>
          </w:tcPr>
          <w:p w:rsidR="006A09C4" w:rsidRPr="006D0712" w:rsidRDefault="006A09C4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Pupils receive one lesson a week dedicated to a KS2 curriculum which focuses on bridging gaps in KS2 skills for pupils to be able to access KS3 skills. This may centre on vocabulary, spelling and grammar.</w:t>
            </w:r>
          </w:p>
        </w:tc>
        <w:tc>
          <w:tcPr>
            <w:tcW w:w="2693" w:type="dxa"/>
          </w:tcPr>
          <w:p w:rsidR="006A09C4" w:rsidRPr="006D0712" w:rsidRDefault="008B3E58">
            <w:pPr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Salary costs</w:t>
            </w:r>
          </w:p>
        </w:tc>
      </w:tr>
    </w:tbl>
    <w:p w:rsidR="006A09C4" w:rsidRPr="006D0712" w:rsidRDefault="006A09C4">
      <w:pPr>
        <w:rPr>
          <w:rFonts w:ascii="Arial Narrow" w:hAnsi="Arial Narrow"/>
          <w:sz w:val="24"/>
          <w:szCs w:val="24"/>
          <w:u w:val="single"/>
        </w:rPr>
      </w:pPr>
    </w:p>
    <w:p w:rsidR="00415603" w:rsidRPr="006D0712" w:rsidRDefault="00415603">
      <w:pPr>
        <w:rPr>
          <w:rFonts w:ascii="Arial Narrow" w:hAnsi="Arial Narrow"/>
          <w:sz w:val="24"/>
          <w:szCs w:val="24"/>
          <w:u w:val="single"/>
        </w:rPr>
      </w:pPr>
      <w:r w:rsidRPr="006D0712">
        <w:rPr>
          <w:rFonts w:ascii="Arial Narrow" w:hAnsi="Arial Narrow"/>
          <w:sz w:val="24"/>
          <w:szCs w:val="24"/>
          <w:u w:val="single"/>
        </w:rPr>
        <w:lastRenderedPageBreak/>
        <w:t xml:space="preserve">Numeracy </w:t>
      </w:r>
      <w:proofErr w:type="gramStart"/>
      <w:r w:rsidRPr="006D0712">
        <w:rPr>
          <w:rFonts w:ascii="Arial Narrow" w:hAnsi="Arial Narrow"/>
          <w:sz w:val="24"/>
          <w:szCs w:val="24"/>
          <w:u w:val="single"/>
        </w:rPr>
        <w:t>catch</w:t>
      </w:r>
      <w:proofErr w:type="gramEnd"/>
      <w:r w:rsidRPr="006D0712">
        <w:rPr>
          <w:rFonts w:ascii="Arial Narrow" w:hAnsi="Arial Narrow"/>
          <w:sz w:val="24"/>
          <w:szCs w:val="24"/>
          <w:u w:val="single"/>
        </w:rPr>
        <w:t xml:space="preserve"> up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2253"/>
        <w:gridCol w:w="2837"/>
        <w:gridCol w:w="3734"/>
      </w:tblGrid>
      <w:tr w:rsidR="008B3E58" w:rsidRPr="006D0712" w:rsidTr="006D0712">
        <w:tc>
          <w:tcPr>
            <w:tcW w:w="1632" w:type="dxa"/>
          </w:tcPr>
          <w:p w:rsidR="008B3E58" w:rsidRPr="006D0712" w:rsidRDefault="008B3E58" w:rsidP="00415603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/>
                <w:sz w:val="24"/>
                <w:szCs w:val="24"/>
              </w:rPr>
              <w:t>Intervention</w:t>
            </w:r>
          </w:p>
        </w:tc>
        <w:tc>
          <w:tcPr>
            <w:tcW w:w="2253" w:type="dxa"/>
          </w:tcPr>
          <w:p w:rsidR="008B3E58" w:rsidRPr="006D0712" w:rsidRDefault="008B3E58" w:rsidP="00415603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/>
                <w:sz w:val="24"/>
                <w:szCs w:val="24"/>
              </w:rPr>
              <w:t>Strategy</w:t>
            </w:r>
          </w:p>
        </w:tc>
        <w:tc>
          <w:tcPr>
            <w:tcW w:w="2837" w:type="dxa"/>
          </w:tcPr>
          <w:p w:rsidR="008B3E58" w:rsidRPr="006D0712" w:rsidRDefault="008B3E58" w:rsidP="00415603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/>
                <w:sz w:val="24"/>
                <w:szCs w:val="24"/>
              </w:rPr>
              <w:t>Application</w:t>
            </w:r>
          </w:p>
        </w:tc>
        <w:tc>
          <w:tcPr>
            <w:tcW w:w="3734" w:type="dxa"/>
          </w:tcPr>
          <w:p w:rsidR="008B3E58" w:rsidRPr="006D0712" w:rsidRDefault="008B3E58" w:rsidP="00415603">
            <w:pPr>
              <w:rPr>
                <w:rFonts w:ascii="Arial Narrow" w:hAnsi="Arial Narrow"/>
                <w:sz w:val="24"/>
                <w:szCs w:val="24"/>
              </w:rPr>
            </w:pPr>
            <w:r w:rsidRPr="006D0712">
              <w:rPr>
                <w:rFonts w:ascii="Arial Narrow" w:hAnsi="Arial Narrow"/>
                <w:sz w:val="24"/>
                <w:szCs w:val="24"/>
              </w:rPr>
              <w:t>Costs</w:t>
            </w:r>
          </w:p>
        </w:tc>
      </w:tr>
      <w:tr w:rsidR="008B3E58" w:rsidRPr="006D0712" w:rsidTr="006D0712">
        <w:tc>
          <w:tcPr>
            <w:tcW w:w="1632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sz w:val="24"/>
                <w:szCs w:val="24"/>
              </w:rPr>
              <w:t>Problem solving and functionality</w:t>
            </w:r>
          </w:p>
        </w:tc>
        <w:tc>
          <w:tcPr>
            <w:tcW w:w="2253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All topics at KS3 are delivered with functional skills and problem solving at the core.</w:t>
            </w:r>
          </w:p>
        </w:tc>
        <w:tc>
          <w:tcPr>
            <w:tcW w:w="2837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sz w:val="24"/>
                <w:szCs w:val="24"/>
              </w:rPr>
              <w:t xml:space="preserve">All KS3 classes are taught by maths specialists who have been trained </w:t>
            </w:r>
            <w:proofErr w:type="gramStart"/>
            <w:r w:rsidRPr="006D0712">
              <w:rPr>
                <w:rFonts w:ascii="Arial Narrow" w:hAnsi="Arial Narrow" w:cstheme="minorHAnsi"/>
                <w:sz w:val="24"/>
                <w:szCs w:val="24"/>
              </w:rPr>
              <w:t>in  delivering</w:t>
            </w:r>
            <w:proofErr w:type="gramEnd"/>
            <w:r w:rsidRPr="006D0712">
              <w:rPr>
                <w:rFonts w:ascii="Arial Narrow" w:hAnsi="Arial Narrow" w:cstheme="minorHAnsi"/>
                <w:sz w:val="24"/>
                <w:szCs w:val="24"/>
              </w:rPr>
              <w:t xml:space="preserve"> lessons that incorporate Functional Skills, which are the fundamental MATHS skills that people need for their working and personal lives</w:t>
            </w:r>
          </w:p>
        </w:tc>
        <w:tc>
          <w:tcPr>
            <w:tcW w:w="3734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sz w:val="24"/>
                <w:szCs w:val="24"/>
              </w:rPr>
              <w:t>Nil</w:t>
            </w:r>
          </w:p>
        </w:tc>
      </w:tr>
      <w:tr w:rsidR="008B3E58" w:rsidRPr="006D0712" w:rsidTr="006D0712">
        <w:tc>
          <w:tcPr>
            <w:tcW w:w="1632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sz w:val="24"/>
                <w:szCs w:val="24"/>
              </w:rPr>
              <w:t>Mastery Schemes of learning</w:t>
            </w:r>
          </w:p>
        </w:tc>
        <w:tc>
          <w:tcPr>
            <w:tcW w:w="2253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sz w:val="24"/>
                <w:szCs w:val="24"/>
              </w:rPr>
              <w:t>KS3 schemes of learning have been produced with a mastery approach.</w:t>
            </w:r>
          </w:p>
        </w:tc>
        <w:tc>
          <w:tcPr>
            <w:tcW w:w="2837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sz w:val="24"/>
                <w:szCs w:val="24"/>
              </w:rPr>
              <w:t>All of our Maths teachers have been trained in teaching KS3 topics in such a way that most students are expected to achieve a high level of competence before progressing. This provides students with a deeper understanding.</w:t>
            </w:r>
          </w:p>
        </w:tc>
        <w:tc>
          <w:tcPr>
            <w:tcW w:w="3734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sz w:val="24"/>
                <w:szCs w:val="24"/>
              </w:rPr>
              <w:t>Salary costs (Lead practitioner development time)</w:t>
            </w:r>
          </w:p>
        </w:tc>
      </w:tr>
      <w:tr w:rsidR="008B3E58" w:rsidRPr="006D0712" w:rsidTr="006D0712">
        <w:tc>
          <w:tcPr>
            <w:tcW w:w="1632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sz w:val="24"/>
                <w:szCs w:val="24"/>
              </w:rPr>
              <w:t>Numeracy Ninjas</w:t>
            </w:r>
          </w:p>
        </w:tc>
        <w:tc>
          <w:tcPr>
            <w:tcW w:w="2253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sz w:val="24"/>
                <w:szCs w:val="24"/>
              </w:rPr>
              <w:t xml:space="preserve">Numeracy Ninjas is a programme of work completed during registration focussing on mental arithmetic. </w:t>
            </w:r>
          </w:p>
        </w:tc>
        <w:tc>
          <w:tcPr>
            <w:tcW w:w="2837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sz w:val="24"/>
                <w:szCs w:val="24"/>
              </w:rPr>
              <w:t xml:space="preserve">Students complete short numerical tasks each week to help improve their basic numeracy skills. </w:t>
            </w:r>
          </w:p>
        </w:tc>
        <w:tc>
          <w:tcPr>
            <w:tcW w:w="3734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sz w:val="24"/>
                <w:szCs w:val="24"/>
              </w:rPr>
              <w:t>Salary costs (Lead practitioner development time)</w:t>
            </w:r>
          </w:p>
        </w:tc>
      </w:tr>
      <w:tr w:rsidR="008B3E58" w:rsidRPr="006D0712" w:rsidTr="006D0712">
        <w:tc>
          <w:tcPr>
            <w:tcW w:w="1632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color w:val="000000"/>
                <w:sz w:val="24"/>
                <w:szCs w:val="24"/>
                <w:shd w:val="clear" w:color="auto" w:fill="FFFFFF"/>
              </w:rPr>
              <w:t>Maths Mentors</w:t>
            </w:r>
          </w:p>
        </w:tc>
        <w:tc>
          <w:tcPr>
            <w:tcW w:w="2253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color w:val="303030"/>
                <w:sz w:val="24"/>
                <w:szCs w:val="24"/>
                <w:shd w:val="clear" w:color="auto" w:fill="FFFFFF"/>
              </w:rPr>
              <w:t>Pre KS3 numeracy programme in small groups delivered by year 10 mentors.</w:t>
            </w:r>
          </w:p>
        </w:tc>
        <w:tc>
          <w:tcPr>
            <w:tcW w:w="2837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color w:val="000000"/>
                <w:sz w:val="24"/>
                <w:szCs w:val="24"/>
                <w:shd w:val="clear" w:color="auto" w:fill="FFFFFF"/>
              </w:rPr>
              <w:t>Students follow a bespoke learning programme developed by our lead practitioners, who have also </w:t>
            </w:r>
            <w:r w:rsidRPr="006D0712">
              <w:rPr>
                <w:rFonts w:ascii="Arial Narrow" w:hAnsi="Arial Narrow" w:cstheme="minorHAnsi"/>
                <w:color w:val="303030"/>
                <w:sz w:val="24"/>
                <w:szCs w:val="24"/>
                <w:bdr w:val="none" w:sz="0" w:space="0" w:color="auto" w:frame="1"/>
                <w:shd w:val="clear" w:color="auto" w:fill="FFFFFF"/>
              </w:rPr>
              <w:t>trained the Year 10 mentors that have been specifically chosen for this task.</w:t>
            </w:r>
          </w:p>
        </w:tc>
        <w:tc>
          <w:tcPr>
            <w:tcW w:w="3734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Salary costs </w:t>
            </w:r>
            <w:r w:rsidRPr="006D0712">
              <w:rPr>
                <w:rFonts w:ascii="Arial Narrow" w:hAnsi="Arial Narrow" w:cstheme="minorHAnsi"/>
                <w:sz w:val="24"/>
                <w:szCs w:val="24"/>
              </w:rPr>
              <w:t>(Lead practitioner development time)</w:t>
            </w:r>
          </w:p>
        </w:tc>
      </w:tr>
      <w:tr w:rsidR="008B3E58" w:rsidRPr="006D0712" w:rsidTr="006D0712">
        <w:tc>
          <w:tcPr>
            <w:tcW w:w="1632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color w:val="000000"/>
                <w:sz w:val="24"/>
                <w:szCs w:val="24"/>
                <w:shd w:val="clear" w:color="auto" w:fill="FFFFFF"/>
              </w:rPr>
              <w:t>Alternative curriculum group taught by a Maths lead practitioner.</w:t>
            </w:r>
          </w:p>
        </w:tc>
        <w:tc>
          <w:tcPr>
            <w:tcW w:w="2253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color w:val="000000"/>
                <w:sz w:val="24"/>
                <w:szCs w:val="24"/>
                <w:shd w:val="clear" w:color="auto" w:fill="FFFFFF"/>
              </w:rPr>
              <w:t>One of our lead practitioners delivers both KS2 and KS3 curriculum to bridge gaps and prepare pupils for KS4.</w:t>
            </w:r>
          </w:p>
        </w:tc>
        <w:tc>
          <w:tcPr>
            <w:tcW w:w="2837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Pupils receive lessons from a bespoke </w:t>
            </w:r>
            <w:proofErr w:type="gramStart"/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curriculum which</w:t>
            </w:r>
            <w:proofErr w:type="gramEnd"/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 focuses on bridging gaps in KS2 skills for pupils to be able to access KS3 skills.</w:t>
            </w:r>
          </w:p>
        </w:tc>
        <w:tc>
          <w:tcPr>
            <w:tcW w:w="3734" w:type="dxa"/>
          </w:tcPr>
          <w:p w:rsidR="008B3E58" w:rsidRPr="006D0712" w:rsidRDefault="008B3E58" w:rsidP="00415603">
            <w:pPr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Salary costs</w:t>
            </w:r>
          </w:p>
        </w:tc>
      </w:tr>
      <w:tr w:rsidR="008B3E58" w:rsidRPr="006D0712" w:rsidTr="006D0712">
        <w:tc>
          <w:tcPr>
            <w:tcW w:w="1632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sz w:val="24"/>
                <w:szCs w:val="24"/>
              </w:rPr>
              <w:t>KS3 Maths magician weeks</w:t>
            </w:r>
          </w:p>
        </w:tc>
        <w:tc>
          <w:tcPr>
            <w:tcW w:w="2253" w:type="dxa"/>
          </w:tcPr>
          <w:p w:rsidR="008B3E58" w:rsidRPr="006D0712" w:rsidRDefault="008B3E58" w:rsidP="0041560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sz w:val="24"/>
                <w:szCs w:val="24"/>
              </w:rPr>
              <w:t xml:space="preserve">Three weeks throughout the year that are dedicated to investigating Maths. </w:t>
            </w:r>
          </w:p>
        </w:tc>
        <w:tc>
          <w:tcPr>
            <w:tcW w:w="2837" w:type="dxa"/>
          </w:tcPr>
          <w:p w:rsidR="008B3E58" w:rsidRPr="006D0712" w:rsidRDefault="008B3E58" w:rsidP="00820FD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sz w:val="24"/>
                <w:szCs w:val="24"/>
              </w:rPr>
              <w:t xml:space="preserve">Activities developed by one of our lead practitioners. These investigations are based around shape and space activities, which has been an area of development from KS2. </w:t>
            </w:r>
          </w:p>
        </w:tc>
        <w:tc>
          <w:tcPr>
            <w:tcW w:w="3734" w:type="dxa"/>
          </w:tcPr>
          <w:p w:rsidR="008B3E58" w:rsidRPr="006D0712" w:rsidRDefault="008B3E58" w:rsidP="00820FD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Salary costs </w:t>
            </w:r>
            <w:r w:rsidRPr="006D0712">
              <w:rPr>
                <w:rFonts w:ascii="Arial Narrow" w:hAnsi="Arial Narrow" w:cstheme="minorHAnsi"/>
                <w:sz w:val="24"/>
                <w:szCs w:val="24"/>
              </w:rPr>
              <w:t>(Lead practitioner development time)</w:t>
            </w:r>
          </w:p>
        </w:tc>
      </w:tr>
      <w:tr w:rsidR="008B3E58" w:rsidRPr="006D0712" w:rsidTr="006D0712">
        <w:tc>
          <w:tcPr>
            <w:tcW w:w="1632" w:type="dxa"/>
          </w:tcPr>
          <w:p w:rsidR="008B3E58" w:rsidRPr="006D0712" w:rsidRDefault="008B3E58" w:rsidP="008E5E2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sz w:val="24"/>
                <w:szCs w:val="24"/>
              </w:rPr>
              <w:t>Developing relationships with feeder primary schools.</w:t>
            </w:r>
          </w:p>
        </w:tc>
        <w:tc>
          <w:tcPr>
            <w:tcW w:w="2253" w:type="dxa"/>
          </w:tcPr>
          <w:p w:rsidR="008B3E58" w:rsidRPr="006D0712" w:rsidRDefault="008B3E58" w:rsidP="008E5E2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sz w:val="24"/>
                <w:szCs w:val="24"/>
              </w:rPr>
              <w:t>Training delivered by our Lead Practitioner to feeder primary schools to develop primary maths.</w:t>
            </w:r>
          </w:p>
        </w:tc>
        <w:tc>
          <w:tcPr>
            <w:tcW w:w="2837" w:type="dxa"/>
          </w:tcPr>
          <w:p w:rsidR="008B3E58" w:rsidRPr="006D0712" w:rsidRDefault="008B3E58" w:rsidP="008E5E2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theme="minorHAnsi"/>
                <w:sz w:val="24"/>
                <w:szCs w:val="24"/>
              </w:rPr>
              <w:t>By developing relationships with feeder primary schools we gain a better understanding of the strengths and weaknesses of our year 7 pupils.</w:t>
            </w:r>
          </w:p>
        </w:tc>
        <w:tc>
          <w:tcPr>
            <w:tcW w:w="3734" w:type="dxa"/>
          </w:tcPr>
          <w:p w:rsidR="008B3E58" w:rsidRPr="006D0712" w:rsidRDefault="008B3E58" w:rsidP="008E5E2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D0712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Salary costs </w:t>
            </w:r>
            <w:r w:rsidRPr="006D0712">
              <w:rPr>
                <w:rFonts w:ascii="Arial Narrow" w:hAnsi="Arial Narrow" w:cstheme="minorHAnsi"/>
                <w:sz w:val="24"/>
                <w:szCs w:val="24"/>
              </w:rPr>
              <w:t>(Lead practitioner development time)</w:t>
            </w:r>
          </w:p>
        </w:tc>
      </w:tr>
    </w:tbl>
    <w:p w:rsidR="00415603" w:rsidRPr="006D0712" w:rsidRDefault="00415603">
      <w:pPr>
        <w:rPr>
          <w:rFonts w:ascii="Arial Narrow" w:hAnsi="Arial Narrow"/>
          <w:sz w:val="24"/>
          <w:szCs w:val="24"/>
        </w:rPr>
      </w:pPr>
    </w:p>
    <w:p w:rsidR="008F6E0D" w:rsidRDefault="008F6E0D">
      <w:pPr>
        <w:rPr>
          <w:rFonts w:ascii="Arial Narrow" w:hAnsi="Arial Narrow"/>
          <w:b/>
          <w:sz w:val="24"/>
          <w:szCs w:val="24"/>
          <w:u w:val="single"/>
        </w:rPr>
      </w:pPr>
    </w:p>
    <w:p w:rsidR="00C41D3D" w:rsidRPr="006D0712" w:rsidRDefault="008B3E58">
      <w:pPr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6D0712">
        <w:rPr>
          <w:rFonts w:ascii="Arial Narrow" w:hAnsi="Arial Narrow"/>
          <w:b/>
          <w:sz w:val="24"/>
          <w:szCs w:val="24"/>
          <w:u w:val="single"/>
        </w:rPr>
        <w:lastRenderedPageBreak/>
        <w:t>The impact of the catch up funding in 2019</w:t>
      </w:r>
      <w:r w:rsidR="00611E50" w:rsidRPr="006D0712">
        <w:rPr>
          <w:rFonts w:ascii="Arial Narrow" w:hAnsi="Arial Narrow"/>
          <w:b/>
          <w:sz w:val="24"/>
          <w:szCs w:val="24"/>
          <w:u w:val="single"/>
        </w:rPr>
        <w:t xml:space="preserve"> (year 7 cohort)</w:t>
      </w:r>
    </w:p>
    <w:p w:rsidR="00C41D3D" w:rsidRPr="006D0712" w:rsidRDefault="00C41D3D">
      <w:pPr>
        <w:rPr>
          <w:rFonts w:ascii="Arial Narrow" w:hAnsi="Arial Narrow"/>
          <w:sz w:val="24"/>
          <w:szCs w:val="24"/>
        </w:rPr>
      </w:pPr>
      <w:r w:rsidRPr="006D0712">
        <w:rPr>
          <w:rFonts w:ascii="Arial Narrow" w:hAnsi="Arial Narrow"/>
          <w:sz w:val="24"/>
          <w:szCs w:val="24"/>
        </w:rPr>
        <w:t xml:space="preserve">Students who entered </w:t>
      </w:r>
      <w:proofErr w:type="spellStart"/>
      <w:r w:rsidRPr="006D0712">
        <w:rPr>
          <w:rFonts w:ascii="Arial Narrow" w:hAnsi="Arial Narrow"/>
          <w:sz w:val="24"/>
          <w:szCs w:val="24"/>
        </w:rPr>
        <w:t>Sandhill</w:t>
      </w:r>
      <w:proofErr w:type="spellEnd"/>
      <w:r w:rsidRPr="006D0712">
        <w:rPr>
          <w:rFonts w:ascii="Arial Narrow" w:hAnsi="Arial Narrow"/>
          <w:sz w:val="24"/>
          <w:szCs w:val="24"/>
        </w:rPr>
        <w:t xml:space="preserve"> View Academy 2018 with a scaled score of less than 100 made faster progress than other children in the cohort.</w:t>
      </w:r>
    </w:p>
    <w:p w:rsidR="00C41D3D" w:rsidRPr="006D0712" w:rsidRDefault="00C41D3D">
      <w:pPr>
        <w:rPr>
          <w:rFonts w:ascii="Arial Narrow" w:hAnsi="Arial Narrow"/>
          <w:sz w:val="24"/>
          <w:szCs w:val="24"/>
        </w:rPr>
      </w:pPr>
      <w:r w:rsidRPr="006D0712">
        <w:rPr>
          <w:rFonts w:ascii="Arial Narrow" w:hAnsi="Arial Narrow"/>
          <w:sz w:val="24"/>
          <w:szCs w:val="24"/>
        </w:rPr>
        <w:t xml:space="preserve">English – the improvement rate of 0.35 average points, in teacher </w:t>
      </w:r>
      <w:r w:rsidR="006D0712" w:rsidRPr="006D0712">
        <w:rPr>
          <w:rFonts w:ascii="Arial Narrow" w:hAnsi="Arial Narrow"/>
          <w:sz w:val="24"/>
          <w:szCs w:val="24"/>
        </w:rPr>
        <w:t>assessments was</w:t>
      </w:r>
      <w:r w:rsidRPr="006D0712">
        <w:rPr>
          <w:rFonts w:ascii="Arial Narrow" w:hAnsi="Arial Narrow"/>
          <w:sz w:val="24"/>
          <w:szCs w:val="24"/>
        </w:rPr>
        <w:t xml:space="preserve"> positive, compared to the rest of the cohort who achieved a progress rate of 0.01.</w:t>
      </w:r>
    </w:p>
    <w:p w:rsidR="00C41D3D" w:rsidRPr="006D0712" w:rsidRDefault="00C41D3D">
      <w:pPr>
        <w:rPr>
          <w:rFonts w:ascii="Arial Narrow" w:hAnsi="Arial Narrow"/>
          <w:sz w:val="24"/>
          <w:szCs w:val="24"/>
        </w:rPr>
      </w:pPr>
      <w:r w:rsidRPr="006D0712">
        <w:rPr>
          <w:rFonts w:ascii="Arial Narrow" w:hAnsi="Arial Narrow"/>
          <w:sz w:val="24"/>
          <w:szCs w:val="24"/>
        </w:rPr>
        <w:t>Maths – the improvement rate shown in teacher assessment was the same rate as other students in the cohort.</w:t>
      </w:r>
    </w:p>
    <w:p w:rsidR="00611E50" w:rsidRPr="006D0712" w:rsidRDefault="00611E50">
      <w:pPr>
        <w:rPr>
          <w:rFonts w:ascii="Arial Narrow" w:hAnsi="Arial Narrow"/>
          <w:sz w:val="24"/>
          <w:szCs w:val="24"/>
        </w:rPr>
      </w:pPr>
    </w:p>
    <w:p w:rsidR="00611E50" w:rsidRPr="006D0712" w:rsidRDefault="00611E50">
      <w:pPr>
        <w:rPr>
          <w:rFonts w:ascii="Arial Narrow" w:hAnsi="Arial Narrow" w:cs="Calibri"/>
          <w:b/>
          <w:color w:val="000000"/>
          <w:sz w:val="24"/>
          <w:szCs w:val="24"/>
          <w:u w:val="single"/>
          <w:shd w:val="clear" w:color="auto" w:fill="FFFFFF"/>
        </w:rPr>
      </w:pPr>
      <w:r w:rsidRPr="006D0712">
        <w:rPr>
          <w:rFonts w:ascii="Arial Narrow" w:hAnsi="Arial Narrow" w:cs="Calibri"/>
          <w:b/>
          <w:color w:val="000000"/>
          <w:sz w:val="24"/>
          <w:szCs w:val="24"/>
          <w:u w:val="single"/>
          <w:shd w:val="clear" w:color="auto" w:fill="FFFFFF"/>
        </w:rPr>
        <w:t>The impact o</w:t>
      </w:r>
      <w:r w:rsidR="006D0712" w:rsidRPr="006D0712">
        <w:rPr>
          <w:rFonts w:ascii="Arial Narrow" w:hAnsi="Arial Narrow" w:cs="Calibri"/>
          <w:b/>
          <w:color w:val="000000"/>
          <w:sz w:val="24"/>
          <w:szCs w:val="24"/>
          <w:u w:val="single"/>
          <w:shd w:val="clear" w:color="auto" w:fill="FFFFFF"/>
        </w:rPr>
        <w:t>f the</w:t>
      </w:r>
      <w:r w:rsidR="006D0712">
        <w:rPr>
          <w:rFonts w:ascii="Arial Narrow" w:hAnsi="Arial Narrow" w:cs="Calibri"/>
          <w:b/>
          <w:color w:val="000000"/>
          <w:sz w:val="24"/>
          <w:szCs w:val="24"/>
          <w:u w:val="single"/>
          <w:shd w:val="clear" w:color="auto" w:fill="FFFFFF"/>
        </w:rPr>
        <w:t xml:space="preserve"> catch up funding in 2019 (</w:t>
      </w:r>
      <w:r w:rsidR="006D0712" w:rsidRPr="006D0712">
        <w:rPr>
          <w:rFonts w:ascii="Arial Narrow" w:hAnsi="Arial Narrow" w:cs="Calibri"/>
          <w:b/>
          <w:color w:val="000000"/>
          <w:sz w:val="24"/>
          <w:szCs w:val="24"/>
          <w:u w:val="single"/>
          <w:shd w:val="clear" w:color="auto" w:fill="FFFFFF"/>
        </w:rPr>
        <w:t>year 11 cohort</w:t>
      </w:r>
      <w:r w:rsidR="006D0712">
        <w:rPr>
          <w:rFonts w:ascii="Arial Narrow" w:hAnsi="Arial Narrow" w:cs="Calibri"/>
          <w:b/>
          <w:color w:val="000000"/>
          <w:sz w:val="24"/>
          <w:szCs w:val="24"/>
          <w:u w:val="single"/>
          <w:shd w:val="clear" w:color="auto" w:fill="FFFFFF"/>
        </w:rPr>
        <w:t>)</w:t>
      </w:r>
    </w:p>
    <w:p w:rsidR="00611E50" w:rsidRPr="006D0712" w:rsidRDefault="00611E50">
      <w:pPr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</w:pPr>
      <w:r w:rsidRPr="006D0712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 xml:space="preserve">English Language – </w:t>
      </w:r>
      <w:r w:rsidR="006D0712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 xml:space="preserve">average </w:t>
      </w:r>
      <w:r w:rsidRPr="006D0712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progress 0.02 higher than the rest of the cohort</w:t>
      </w:r>
    </w:p>
    <w:p w:rsidR="00611E50" w:rsidRPr="006D0712" w:rsidRDefault="006D0712">
      <w:pPr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English Literature – average p</w:t>
      </w:r>
      <w:r w:rsidR="00611E50" w:rsidRPr="006D0712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rogress 0.22 higher than the rest of the cohort</w:t>
      </w:r>
    </w:p>
    <w:p w:rsidR="00611E50" w:rsidRPr="006D0712" w:rsidRDefault="00611E50">
      <w:pPr>
        <w:rPr>
          <w:rFonts w:ascii="Arial Narrow" w:hAnsi="Arial Narrow"/>
          <w:sz w:val="24"/>
          <w:szCs w:val="24"/>
        </w:rPr>
      </w:pPr>
      <w:r w:rsidRPr="006D0712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 xml:space="preserve">Maths </w:t>
      </w:r>
      <w:r w:rsidR="006D0712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 xml:space="preserve">– average progress </w:t>
      </w:r>
      <w:r w:rsidRPr="006D0712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0.16 higher than the rest of the cohort</w:t>
      </w:r>
    </w:p>
    <w:sectPr w:rsidR="00611E50" w:rsidRPr="006D0712" w:rsidSect="006D0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03"/>
    <w:rsid w:val="002B0AE3"/>
    <w:rsid w:val="0038588C"/>
    <w:rsid w:val="00415603"/>
    <w:rsid w:val="00611E50"/>
    <w:rsid w:val="00693A0F"/>
    <w:rsid w:val="006A09C4"/>
    <w:rsid w:val="006D0712"/>
    <w:rsid w:val="00820FD4"/>
    <w:rsid w:val="008B3E58"/>
    <w:rsid w:val="008C772B"/>
    <w:rsid w:val="008E5E29"/>
    <w:rsid w:val="008F6E0D"/>
    <w:rsid w:val="00C41D3D"/>
    <w:rsid w:val="00F0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4850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Goodwin</dc:creator>
  <cp:keywords/>
  <dc:description/>
  <cp:lastModifiedBy>Joanne</cp:lastModifiedBy>
  <cp:revision>2</cp:revision>
  <dcterms:created xsi:type="dcterms:W3CDTF">2020-02-11T00:51:00Z</dcterms:created>
  <dcterms:modified xsi:type="dcterms:W3CDTF">2020-02-11T00:51:00Z</dcterms:modified>
</cp:coreProperties>
</file>