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F65F7" w14:textId="25C12C6C" w:rsidR="004D387E" w:rsidRPr="004D387E" w:rsidRDefault="00293783" w:rsidP="004D387E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8"/>
      <w:bookmarkStart w:id="1" w:name="_Toc503965497"/>
      <w:r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Sandhill View Academy</w:t>
      </w:r>
      <w:r w:rsidR="00F31E4C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 </w:t>
      </w:r>
      <w:r w:rsidR="004D387E"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Pupil premium strategy / self- evaluation </w:t>
      </w:r>
      <w:bookmarkEnd w:id="0"/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70"/>
        <w:gridCol w:w="3792"/>
        <w:gridCol w:w="1395"/>
        <w:gridCol w:w="4914"/>
        <w:gridCol w:w="1203"/>
      </w:tblGrid>
      <w:tr w:rsidR="004D387E" w:rsidRPr="004D387E" w14:paraId="7839DFEE" w14:textId="77777777" w:rsidTr="550D033F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F576E94" w14:textId="77777777" w:rsidR="004D387E" w:rsidRPr="004D387E" w:rsidRDefault="004D387E" w:rsidP="004D387E">
            <w:pPr>
              <w:numPr>
                <w:ilvl w:val="0"/>
                <w:numId w:val="10"/>
              </w:numPr>
              <w:spacing w:after="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Summary information </w:t>
            </w:r>
          </w:p>
        </w:tc>
      </w:tr>
      <w:tr w:rsidR="004D387E" w:rsidRPr="004D387E" w14:paraId="0307615C" w14:textId="77777777" w:rsidTr="550D033F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415564E6" w14:textId="77777777" w:rsidR="004D387E" w:rsidRPr="004D387E" w:rsidRDefault="004D387E" w:rsidP="004D387E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170" w:type="dxa"/>
            <w:shd w:val="clear" w:color="auto" w:fill="auto"/>
            <w:tcMar>
              <w:top w:w="57" w:type="dxa"/>
              <w:bottom w:w="57" w:type="dxa"/>
            </w:tcMar>
          </w:tcPr>
          <w:p w14:paraId="040CB2F6" w14:textId="563D84F1" w:rsidR="004D387E" w:rsidRPr="004D387E" w:rsidRDefault="00315BBB" w:rsidP="7FA7A04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  <w:t>2019-20</w:t>
            </w:r>
          </w:p>
        </w:tc>
        <w:tc>
          <w:tcPr>
            <w:tcW w:w="3792" w:type="dxa"/>
            <w:shd w:val="clear" w:color="auto" w:fill="auto"/>
          </w:tcPr>
          <w:p w14:paraId="763A2DF4" w14:textId="77777777" w:rsidR="004D387E" w:rsidRPr="004D387E" w:rsidRDefault="004D387E" w:rsidP="004D387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PP budget</w:t>
            </w:r>
          </w:p>
        </w:tc>
        <w:tc>
          <w:tcPr>
            <w:tcW w:w="1395" w:type="dxa"/>
            <w:shd w:val="clear" w:color="auto" w:fill="auto"/>
          </w:tcPr>
          <w:p w14:paraId="3101D863" w14:textId="6E0FA46C" w:rsidR="004D387E" w:rsidRPr="004D387E" w:rsidRDefault="00315BBB" w:rsidP="7FC8C4C3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  <w:t>378,675</w:t>
            </w:r>
          </w:p>
        </w:tc>
        <w:tc>
          <w:tcPr>
            <w:tcW w:w="4914" w:type="dxa"/>
            <w:shd w:val="clear" w:color="auto" w:fill="auto"/>
          </w:tcPr>
          <w:p w14:paraId="2ED7136D" w14:textId="77777777" w:rsidR="004D387E" w:rsidRPr="004D387E" w:rsidRDefault="004D387E" w:rsidP="004D387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1203" w:type="dxa"/>
            <w:shd w:val="clear" w:color="auto" w:fill="auto"/>
          </w:tcPr>
          <w:p w14:paraId="0C10FEB0" w14:textId="2DAD1E87" w:rsidR="004D387E" w:rsidRPr="004D387E" w:rsidRDefault="004D387E" w:rsidP="004D387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14821962" w14:textId="77777777" w:rsidTr="550D033F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39A13511" w14:textId="77777777" w:rsidR="004D387E" w:rsidRDefault="004D387E" w:rsidP="004D387E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  <w:p w14:paraId="4D2EBB78" w14:textId="3E4AEBB4" w:rsidR="00AF1CB5" w:rsidRPr="004D387E" w:rsidRDefault="00AF1CB5" w:rsidP="004D387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(2018-19)</w:t>
            </w:r>
          </w:p>
        </w:tc>
        <w:tc>
          <w:tcPr>
            <w:tcW w:w="1170" w:type="dxa"/>
            <w:shd w:val="clear" w:color="auto" w:fill="auto"/>
            <w:tcMar>
              <w:top w:w="57" w:type="dxa"/>
              <w:bottom w:w="57" w:type="dxa"/>
            </w:tcMar>
          </w:tcPr>
          <w:p w14:paraId="14DADB84" w14:textId="1A6CA444" w:rsidR="004D387E" w:rsidRPr="004D387E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  <w:t>76</w:t>
            </w:r>
            <w:r w:rsidR="00315B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792" w:type="dxa"/>
            <w:shd w:val="clear" w:color="auto" w:fill="auto"/>
          </w:tcPr>
          <w:p w14:paraId="2B24172B" w14:textId="77777777" w:rsidR="004D387E" w:rsidRPr="004D387E" w:rsidRDefault="004D387E" w:rsidP="004D387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1395" w:type="dxa"/>
            <w:shd w:val="clear" w:color="auto" w:fill="auto"/>
          </w:tcPr>
          <w:p w14:paraId="229999A6" w14:textId="2832F32B" w:rsidR="004D387E" w:rsidRPr="004D387E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  <w:t>40</w:t>
            </w:r>
            <w:r w:rsidR="00315BBB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914" w:type="dxa"/>
            <w:shd w:val="clear" w:color="auto" w:fill="auto"/>
          </w:tcPr>
          <w:p w14:paraId="79A844A7" w14:textId="49398912" w:rsidR="004D387E" w:rsidRPr="004D387E" w:rsidRDefault="004D387E" w:rsidP="004D387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1203" w:type="dxa"/>
            <w:shd w:val="clear" w:color="auto" w:fill="auto"/>
          </w:tcPr>
          <w:p w14:paraId="475EA238" w14:textId="4873ECFF" w:rsidR="004D387E" w:rsidRPr="004D387E" w:rsidRDefault="00315BBB" w:rsidP="004D387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Summer 2020</w:t>
            </w:r>
          </w:p>
        </w:tc>
      </w:tr>
    </w:tbl>
    <w:p w14:paraId="5E1492AD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"/>
        <w:gridCol w:w="125"/>
        <w:gridCol w:w="796"/>
        <w:gridCol w:w="573"/>
        <w:gridCol w:w="1770"/>
        <w:gridCol w:w="3260"/>
        <w:gridCol w:w="135"/>
        <w:gridCol w:w="1313"/>
        <w:gridCol w:w="831"/>
        <w:gridCol w:w="1805"/>
        <w:gridCol w:w="1314"/>
        <w:gridCol w:w="95"/>
        <w:gridCol w:w="2490"/>
        <w:gridCol w:w="135"/>
      </w:tblGrid>
      <w:tr w:rsidR="004D387E" w:rsidRPr="004D387E" w14:paraId="371E6FC3" w14:textId="77777777" w:rsidTr="67E6F832">
        <w:trPr>
          <w:gridAfter w:val="1"/>
          <w:wAfter w:w="135" w:type="dxa"/>
          <w:trHeight w:val="146"/>
        </w:trPr>
        <w:tc>
          <w:tcPr>
            <w:tcW w:w="15451" w:type="dxa"/>
            <w:gridSpan w:val="14"/>
            <w:shd w:val="clear" w:color="auto" w:fill="CFDCE3"/>
            <w:tcMar>
              <w:top w:w="57" w:type="dxa"/>
              <w:bottom w:w="57" w:type="dxa"/>
            </w:tcMar>
          </w:tcPr>
          <w:p w14:paraId="564BDB07" w14:textId="39ED8B7C" w:rsidR="004D387E" w:rsidRPr="004D387E" w:rsidRDefault="7FA7A041" w:rsidP="7FA7A041">
            <w:pPr>
              <w:numPr>
                <w:ilvl w:val="0"/>
                <w:numId w:val="10"/>
              </w:numPr>
              <w:spacing w:after="0" w:line="288" w:lineRule="auto"/>
              <w:ind w:left="426" w:hanging="284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7FA7A041">
              <w:rPr>
                <w:rFonts w:ascii="Arial" w:eastAsia="Arial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 xml:space="preserve">2018 Attainment </w:t>
            </w:r>
          </w:p>
        </w:tc>
      </w:tr>
      <w:tr w:rsidR="00293783" w:rsidRPr="004D387E" w14:paraId="7D8D7907" w14:textId="77777777" w:rsidTr="67E6F832">
        <w:trPr>
          <w:gridAfter w:val="1"/>
          <w:wAfter w:w="135" w:type="dxa"/>
          <w:trHeight w:val="660"/>
        </w:trPr>
        <w:tc>
          <w:tcPr>
            <w:tcW w:w="7468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25B26BFA" w14:textId="77777777" w:rsidR="00293783" w:rsidRPr="004D387E" w:rsidRDefault="00293783" w:rsidP="004D387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279" w:type="dxa"/>
            <w:gridSpan w:val="3"/>
            <w:shd w:val="clear" w:color="auto" w:fill="auto"/>
            <w:vAlign w:val="center"/>
          </w:tcPr>
          <w:p w14:paraId="463D7C43" w14:textId="59BE2615" w:rsidR="00293783" w:rsidRPr="00293783" w:rsidRDefault="00293783" w:rsidP="0029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</w:pPr>
            <w:r w:rsidRPr="355B87B6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  <w:t xml:space="preserve">Pupils eligible for PP 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617853D" w14:textId="77777777" w:rsidR="00293783" w:rsidRDefault="00293783" w:rsidP="355B8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</w:pPr>
            <w:r w:rsidRPr="355B87B6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  <w:t xml:space="preserve">Pupils 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  <w:t xml:space="preserve">NOT </w:t>
            </w:r>
          </w:p>
          <w:p w14:paraId="48E50B05" w14:textId="334488C1" w:rsidR="00293783" w:rsidRPr="004D387E" w:rsidRDefault="00293783" w:rsidP="0029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</w:pPr>
            <w:r w:rsidRPr="355B87B6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  <w:t xml:space="preserve">eligible for PP </w:t>
            </w:r>
          </w:p>
        </w:tc>
        <w:tc>
          <w:tcPr>
            <w:tcW w:w="2585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5E4974F" w14:textId="6B9A2A3E" w:rsidR="00293783" w:rsidRPr="004D387E" w:rsidRDefault="00293783" w:rsidP="355B8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  <w:t xml:space="preserve">All pupils </w:t>
            </w:r>
          </w:p>
        </w:tc>
      </w:tr>
      <w:tr w:rsidR="00293783" w:rsidRPr="004D387E" w14:paraId="435E5E1C" w14:textId="77777777" w:rsidTr="67E6F832">
        <w:trPr>
          <w:gridAfter w:val="1"/>
          <w:wAfter w:w="135" w:type="dxa"/>
          <w:trHeight w:val="290"/>
        </w:trPr>
        <w:tc>
          <w:tcPr>
            <w:tcW w:w="7468" w:type="dxa"/>
            <w:gridSpan w:val="7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68FEC0" w14:textId="65536AFB" w:rsidR="00293783" w:rsidRPr="004D387E" w:rsidRDefault="00293783" w:rsidP="00293783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 xml:space="preserve">Progress 8 average </w:t>
            </w:r>
          </w:p>
        </w:tc>
        <w:tc>
          <w:tcPr>
            <w:tcW w:w="2279" w:type="dxa"/>
            <w:gridSpan w:val="3"/>
            <w:shd w:val="clear" w:color="auto" w:fill="auto"/>
            <w:vAlign w:val="center"/>
          </w:tcPr>
          <w:p w14:paraId="6BDD344E" w14:textId="55B7C58C" w:rsidR="00293783" w:rsidRPr="004D387E" w:rsidRDefault="00315BBB" w:rsidP="0029378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-0.5</w:t>
            </w:r>
          </w:p>
        </w:tc>
        <w:tc>
          <w:tcPr>
            <w:tcW w:w="3119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01D34E" w14:textId="65A4C41E" w:rsidR="00293783" w:rsidRPr="004D387E" w:rsidRDefault="00315BBB" w:rsidP="00AF1CB5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-0.28</w:t>
            </w:r>
          </w:p>
        </w:tc>
        <w:tc>
          <w:tcPr>
            <w:tcW w:w="2585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B144316" w14:textId="3435EDB6" w:rsidR="00293783" w:rsidRPr="004D387E" w:rsidRDefault="00315BBB" w:rsidP="004D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-0.4</w:t>
            </w:r>
          </w:p>
        </w:tc>
      </w:tr>
      <w:tr w:rsidR="00293783" w:rsidRPr="004D387E" w14:paraId="007CF612" w14:textId="77777777" w:rsidTr="67E6F832">
        <w:trPr>
          <w:gridAfter w:val="1"/>
          <w:wAfter w:w="135" w:type="dxa"/>
          <w:trHeight w:val="290"/>
        </w:trPr>
        <w:tc>
          <w:tcPr>
            <w:tcW w:w="7468" w:type="dxa"/>
            <w:gridSpan w:val="7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2320A9" w14:textId="087EB789" w:rsidR="00293783" w:rsidRDefault="00293783" w:rsidP="00293783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Attainment 8 average</w:t>
            </w:r>
          </w:p>
        </w:tc>
        <w:tc>
          <w:tcPr>
            <w:tcW w:w="2279" w:type="dxa"/>
            <w:gridSpan w:val="3"/>
            <w:shd w:val="clear" w:color="auto" w:fill="auto"/>
            <w:vAlign w:val="center"/>
          </w:tcPr>
          <w:p w14:paraId="1595866C" w14:textId="50A1AC14" w:rsidR="00293783" w:rsidRDefault="00315BBB" w:rsidP="0029378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35.21</w:t>
            </w:r>
          </w:p>
        </w:tc>
        <w:tc>
          <w:tcPr>
            <w:tcW w:w="3119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8B94D" w14:textId="3AD32232" w:rsidR="00293783" w:rsidRDefault="00315BBB" w:rsidP="00AF1CB5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41.64</w:t>
            </w:r>
          </w:p>
        </w:tc>
        <w:tc>
          <w:tcPr>
            <w:tcW w:w="2585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3D9AADE" w14:textId="6FDBD6A6" w:rsidR="00293783" w:rsidRPr="004D387E" w:rsidRDefault="00315BBB" w:rsidP="004D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38.21</w:t>
            </w:r>
          </w:p>
        </w:tc>
      </w:tr>
      <w:tr w:rsidR="00293783" w:rsidRPr="004D387E" w14:paraId="0438FE4F" w14:textId="77777777" w:rsidTr="67E6F832">
        <w:trPr>
          <w:gridAfter w:val="1"/>
          <w:wAfter w:w="135" w:type="dxa"/>
          <w:trHeight w:val="296"/>
        </w:trPr>
        <w:tc>
          <w:tcPr>
            <w:tcW w:w="7468" w:type="dxa"/>
            <w:gridSpan w:val="7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4D3E14" w14:textId="4B6BC059" w:rsidR="00293783" w:rsidRPr="004D387E" w:rsidRDefault="00293783" w:rsidP="004D387E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Basics 9-4</w:t>
            </w:r>
          </w:p>
        </w:tc>
        <w:tc>
          <w:tcPr>
            <w:tcW w:w="2279" w:type="dxa"/>
            <w:gridSpan w:val="3"/>
            <w:shd w:val="clear" w:color="auto" w:fill="auto"/>
            <w:vAlign w:val="center"/>
          </w:tcPr>
          <w:p w14:paraId="1F9CAEE6" w14:textId="1C9B2F60" w:rsidR="00293783" w:rsidRPr="004D387E" w:rsidRDefault="00315BBB" w:rsidP="0029378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35.6</w:t>
            </w:r>
          </w:p>
        </w:tc>
        <w:tc>
          <w:tcPr>
            <w:tcW w:w="3119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5339F1" w14:textId="25FFE3AF" w:rsidR="00293783" w:rsidRPr="004D387E" w:rsidRDefault="00315BBB" w:rsidP="7FA7A041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58.2</w:t>
            </w:r>
          </w:p>
        </w:tc>
        <w:tc>
          <w:tcPr>
            <w:tcW w:w="2585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FE2A0A1" w14:textId="388D1626" w:rsidR="00293783" w:rsidRPr="004D387E" w:rsidRDefault="00315BBB" w:rsidP="0029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  <w:t>46.4</w:t>
            </w:r>
          </w:p>
        </w:tc>
      </w:tr>
      <w:tr w:rsidR="00293783" w:rsidRPr="004D387E" w14:paraId="54E9A91B" w14:textId="77777777" w:rsidTr="67E6F832">
        <w:trPr>
          <w:gridAfter w:val="1"/>
          <w:wAfter w:w="135" w:type="dxa"/>
          <w:trHeight w:val="296"/>
        </w:trPr>
        <w:tc>
          <w:tcPr>
            <w:tcW w:w="7468" w:type="dxa"/>
            <w:gridSpan w:val="7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D4B924" w14:textId="53525DB4" w:rsidR="00293783" w:rsidRDefault="00293783" w:rsidP="004D387E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Basics 9-5</w:t>
            </w:r>
          </w:p>
        </w:tc>
        <w:tc>
          <w:tcPr>
            <w:tcW w:w="2279" w:type="dxa"/>
            <w:gridSpan w:val="3"/>
            <w:shd w:val="clear" w:color="auto" w:fill="auto"/>
            <w:vAlign w:val="center"/>
          </w:tcPr>
          <w:p w14:paraId="21CF9231" w14:textId="276721A1" w:rsidR="00293783" w:rsidRPr="004D387E" w:rsidRDefault="00751133" w:rsidP="0075113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20.7</w:t>
            </w:r>
          </w:p>
        </w:tc>
        <w:tc>
          <w:tcPr>
            <w:tcW w:w="3119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281BCC" w14:textId="3A81DBD4" w:rsidR="00293783" w:rsidRPr="004D387E" w:rsidRDefault="00751133" w:rsidP="00751133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35.4</w:t>
            </w:r>
          </w:p>
        </w:tc>
        <w:tc>
          <w:tcPr>
            <w:tcW w:w="2585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4BF2B37" w14:textId="68A54579" w:rsidR="00293783" w:rsidRPr="004D387E" w:rsidRDefault="00751133" w:rsidP="0029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  <w:t>27.7</w:t>
            </w:r>
          </w:p>
        </w:tc>
      </w:tr>
      <w:tr w:rsidR="00293783" w:rsidRPr="004D387E" w14:paraId="24AAF477" w14:textId="77777777" w:rsidTr="67E6F832">
        <w:trPr>
          <w:gridAfter w:val="1"/>
          <w:wAfter w:w="135" w:type="dxa"/>
        </w:trPr>
        <w:tc>
          <w:tcPr>
            <w:tcW w:w="15451" w:type="dxa"/>
            <w:gridSpan w:val="14"/>
            <w:shd w:val="clear" w:color="auto" w:fill="CFDCE3"/>
            <w:tcMar>
              <w:top w:w="57" w:type="dxa"/>
              <w:bottom w:w="57" w:type="dxa"/>
            </w:tcMar>
          </w:tcPr>
          <w:p w14:paraId="29470581" w14:textId="0666F7A5" w:rsidR="00293783" w:rsidRPr="004D387E" w:rsidRDefault="00293783" w:rsidP="004D387E">
            <w:pPr>
              <w:numPr>
                <w:ilvl w:val="0"/>
                <w:numId w:val="10"/>
              </w:numPr>
              <w:spacing w:after="0" w:line="288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293783" w:rsidRPr="004D387E" w14:paraId="0CE9299B" w14:textId="77777777" w:rsidTr="67E6F832">
        <w:trPr>
          <w:gridAfter w:val="1"/>
          <w:wAfter w:w="135" w:type="dxa"/>
          <w:trHeight w:val="264"/>
        </w:trPr>
        <w:tc>
          <w:tcPr>
            <w:tcW w:w="15451" w:type="dxa"/>
            <w:gridSpan w:val="14"/>
            <w:shd w:val="clear" w:color="auto" w:fill="CFDCE3"/>
            <w:tcMar>
              <w:top w:w="57" w:type="dxa"/>
              <w:bottom w:w="57" w:type="dxa"/>
            </w:tcMar>
          </w:tcPr>
          <w:p w14:paraId="4D714176" w14:textId="42BBA9BB" w:rsidR="00293783" w:rsidRPr="004D387E" w:rsidRDefault="00293783" w:rsidP="7FA7A041">
            <w:pPr>
              <w:spacing w:after="0" w:line="288" w:lineRule="auto"/>
              <w:rPr>
                <w:rFonts w:ascii="Arial" w:eastAsia="Times New Roman" w:hAnsi="Arial" w:cs="Arial"/>
                <w:i/>
                <w:iCs/>
                <w:color w:val="0D0D0D" w:themeColor="text1" w:themeTint="F2"/>
                <w:sz w:val="24"/>
                <w:szCs w:val="24"/>
                <w:lang w:eastAsia="en-GB"/>
              </w:rPr>
            </w:pPr>
            <w:r w:rsidRPr="7FA7A041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Academic barriers within school</w:t>
            </w:r>
          </w:p>
        </w:tc>
      </w:tr>
      <w:tr w:rsidR="00293783" w14:paraId="1AB1100A" w14:textId="77777777" w:rsidTr="67E6F832">
        <w:trPr>
          <w:gridAfter w:val="1"/>
          <w:wAfter w:w="135" w:type="dxa"/>
          <w:trHeight w:val="368"/>
        </w:trPr>
        <w:tc>
          <w:tcPr>
            <w:tcW w:w="106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4FD220" w14:textId="36FEB6F3" w:rsidR="00293783" w:rsidRDefault="00293783" w:rsidP="355B87B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4382" w:type="dxa"/>
            <w:gridSpan w:val="11"/>
            <w:shd w:val="clear" w:color="auto" w:fill="auto"/>
          </w:tcPr>
          <w:p w14:paraId="618B1F15" w14:textId="4E32F3F4" w:rsidR="00293783" w:rsidRDefault="00293783" w:rsidP="00751133">
            <w:pPr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</w:pPr>
            <w:r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>All s</w:t>
            </w:r>
            <w:r w:rsidRPr="7FA7A041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 xml:space="preserve">tudents need the highest quality of teaching in every classroom. There </w:t>
            </w:r>
            <w:r w:rsidR="00751133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>have previously been</w:t>
            </w:r>
            <w:r w:rsidR="00F258E0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 xml:space="preserve"> </w:t>
            </w:r>
            <w:r w:rsidRPr="7FA7A041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>inconsisencies in quality.</w:t>
            </w:r>
          </w:p>
        </w:tc>
      </w:tr>
      <w:tr w:rsidR="00293783" w14:paraId="6F33493E" w14:textId="77777777" w:rsidTr="67E6F832">
        <w:trPr>
          <w:gridAfter w:val="1"/>
          <w:wAfter w:w="135" w:type="dxa"/>
        </w:trPr>
        <w:tc>
          <w:tcPr>
            <w:tcW w:w="106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BA30983" w14:textId="33620C1D" w:rsidR="00293783" w:rsidRDefault="00293783" w:rsidP="355B87B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4382" w:type="dxa"/>
            <w:gridSpan w:val="11"/>
            <w:shd w:val="clear" w:color="auto" w:fill="auto"/>
          </w:tcPr>
          <w:p w14:paraId="679EE2F9" w14:textId="11DA5D14" w:rsidR="00293783" w:rsidRDefault="00293783" w:rsidP="00293783">
            <w:pPr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</w:pPr>
            <w:r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 xml:space="preserve">Some </w:t>
            </w:r>
            <w:r w:rsidRPr="7FA7A041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>students have low levels of literacy which impedes their</w:t>
            </w:r>
            <w:r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 xml:space="preserve"> learning and their confidence across</w:t>
            </w:r>
            <w:r w:rsidRPr="7FA7A041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 xml:space="preserve"> many subject areas.</w:t>
            </w:r>
          </w:p>
        </w:tc>
      </w:tr>
      <w:tr w:rsidR="00293783" w14:paraId="1BB28D63" w14:textId="77777777" w:rsidTr="67E6F832">
        <w:trPr>
          <w:gridAfter w:val="1"/>
          <w:wAfter w:w="135" w:type="dxa"/>
        </w:trPr>
        <w:tc>
          <w:tcPr>
            <w:tcW w:w="106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0CAED46" w14:textId="53047BA6" w:rsidR="00293783" w:rsidRDefault="00293783" w:rsidP="355B87B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4382" w:type="dxa"/>
            <w:gridSpan w:val="11"/>
            <w:shd w:val="clear" w:color="auto" w:fill="auto"/>
          </w:tcPr>
          <w:p w14:paraId="34E2E93C" w14:textId="5E43CFA7" w:rsidR="00293783" w:rsidRDefault="00293783" w:rsidP="00293783">
            <w:pPr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</w:pPr>
            <w:r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>Some</w:t>
            </w:r>
            <w:r w:rsidRPr="7FA7A041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 xml:space="preserve"> students have low levels of numeracy, this impedes their learning and their </w:t>
            </w:r>
            <w:r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>outcomes in maths.</w:t>
            </w:r>
          </w:p>
        </w:tc>
      </w:tr>
      <w:tr w:rsidR="00293783" w14:paraId="700BA716" w14:textId="77777777" w:rsidTr="67E6F832">
        <w:trPr>
          <w:gridAfter w:val="1"/>
          <w:wAfter w:w="135" w:type="dxa"/>
        </w:trPr>
        <w:tc>
          <w:tcPr>
            <w:tcW w:w="106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E20B2CD" w14:textId="5B5AC8E4" w:rsidR="00293783" w:rsidRDefault="00293783" w:rsidP="355B87B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4382" w:type="dxa"/>
            <w:gridSpan w:val="11"/>
            <w:shd w:val="clear" w:color="auto" w:fill="auto"/>
          </w:tcPr>
          <w:p w14:paraId="47AC20EF" w14:textId="6A822051" w:rsidR="00293783" w:rsidRDefault="00293783" w:rsidP="00293783">
            <w:pPr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</w:pPr>
            <w:r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>Some</w:t>
            </w:r>
            <w:r w:rsidRPr="5E4D2593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 xml:space="preserve"> students with high prior attainment need additional help to enable them to fully achieve their potential.</w:t>
            </w:r>
          </w:p>
        </w:tc>
      </w:tr>
      <w:tr w:rsidR="00293783" w14:paraId="58858723" w14:textId="77777777" w:rsidTr="67E6F832">
        <w:trPr>
          <w:gridAfter w:val="1"/>
          <w:wAfter w:w="135" w:type="dxa"/>
        </w:trPr>
        <w:tc>
          <w:tcPr>
            <w:tcW w:w="106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41E9082" w14:textId="5D1989F4" w:rsidR="00293783" w:rsidRDefault="00293783" w:rsidP="355B87B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4382" w:type="dxa"/>
            <w:gridSpan w:val="11"/>
            <w:shd w:val="clear" w:color="auto" w:fill="auto"/>
          </w:tcPr>
          <w:p w14:paraId="3B374C26" w14:textId="08D8B2FE" w:rsidR="00293783" w:rsidRDefault="00293783" w:rsidP="7FA7A041">
            <w:pPr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</w:pPr>
            <w:r w:rsidRPr="7FA7A041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>Some students have additional needs and need extra help to enable them to fully achieve their potential.</w:t>
            </w:r>
          </w:p>
        </w:tc>
      </w:tr>
      <w:tr w:rsidR="00293783" w:rsidRPr="004D387E" w14:paraId="468EAA50" w14:textId="77777777" w:rsidTr="67E6F832">
        <w:trPr>
          <w:gridAfter w:val="1"/>
          <w:wAfter w:w="135" w:type="dxa"/>
          <w:trHeight w:val="174"/>
        </w:trPr>
        <w:tc>
          <w:tcPr>
            <w:tcW w:w="15451" w:type="dxa"/>
            <w:gridSpan w:val="14"/>
            <w:shd w:val="clear" w:color="auto" w:fill="CFDCE3"/>
            <w:tcMar>
              <w:top w:w="57" w:type="dxa"/>
              <w:bottom w:w="57" w:type="dxa"/>
            </w:tcMar>
          </w:tcPr>
          <w:p w14:paraId="7C5AE84C" w14:textId="77777777" w:rsidR="00293783" w:rsidRPr="004D387E" w:rsidRDefault="0029378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293783" w:rsidRPr="004D387E" w14:paraId="35F13C80" w14:textId="77777777" w:rsidTr="67E6F832">
        <w:trPr>
          <w:gridAfter w:val="1"/>
          <w:wAfter w:w="135" w:type="dxa"/>
          <w:trHeight w:val="515"/>
        </w:trPr>
        <w:tc>
          <w:tcPr>
            <w:tcW w:w="94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289EE5" w14:textId="5FB682BB" w:rsidR="00293783" w:rsidRPr="004D387E" w:rsidRDefault="00293783" w:rsidP="355B87B6">
            <w:pPr>
              <w:tabs>
                <w:tab w:val="left" w:pos="60"/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355B87B6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4507" w:type="dxa"/>
            <w:gridSpan w:val="12"/>
            <w:shd w:val="clear" w:color="auto" w:fill="auto"/>
          </w:tcPr>
          <w:p w14:paraId="33649D3F" w14:textId="4EE91C43" w:rsidR="00293783" w:rsidRPr="004D387E" w:rsidRDefault="00293783" w:rsidP="355B87B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 xml:space="preserve">Some </w:t>
            </w:r>
            <w:r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 xml:space="preserve">students </w:t>
            </w:r>
            <w:r w:rsidRPr="5E4D2593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>struggle to attend regularly and of these some are persistently absent.</w:t>
            </w:r>
          </w:p>
        </w:tc>
      </w:tr>
      <w:tr w:rsidR="00293783" w14:paraId="6481FA3E" w14:textId="77777777" w:rsidTr="67E6F832">
        <w:trPr>
          <w:gridAfter w:val="1"/>
          <w:wAfter w:w="135" w:type="dxa"/>
          <w:trHeight w:val="70"/>
        </w:trPr>
        <w:tc>
          <w:tcPr>
            <w:tcW w:w="94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F04505" w14:textId="0E06C57E" w:rsidR="00293783" w:rsidRDefault="00293783" w:rsidP="355B87B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lastRenderedPageBreak/>
              <w:t>g</w:t>
            </w:r>
          </w:p>
        </w:tc>
        <w:tc>
          <w:tcPr>
            <w:tcW w:w="14507" w:type="dxa"/>
            <w:gridSpan w:val="12"/>
            <w:shd w:val="clear" w:color="auto" w:fill="auto"/>
          </w:tcPr>
          <w:p w14:paraId="55EB4BE7" w14:textId="768E389C" w:rsidR="00293783" w:rsidRDefault="00293783" w:rsidP="00293783">
            <w:r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>Some</w:t>
            </w:r>
            <w:r w:rsidRPr="5E4D2593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 xml:space="preserve"> students need extensive pastoral support for a variety of reasons.</w:t>
            </w:r>
          </w:p>
        </w:tc>
      </w:tr>
      <w:tr w:rsidR="00293783" w14:paraId="635D6988" w14:textId="77777777" w:rsidTr="67E6F832">
        <w:trPr>
          <w:gridAfter w:val="1"/>
          <w:wAfter w:w="135" w:type="dxa"/>
          <w:trHeight w:val="70"/>
        </w:trPr>
        <w:tc>
          <w:tcPr>
            <w:tcW w:w="94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B33DF92" w14:textId="7985D5D6" w:rsidR="00293783" w:rsidRDefault="00293783" w:rsidP="355B87B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4507" w:type="dxa"/>
            <w:gridSpan w:val="12"/>
            <w:shd w:val="clear" w:color="auto" w:fill="auto"/>
          </w:tcPr>
          <w:p w14:paraId="7B40DECA" w14:textId="55ED8DEB" w:rsidR="00293783" w:rsidRDefault="00293783" w:rsidP="355B87B6">
            <w:pPr>
              <w:spacing w:line="240" w:lineRule="auto"/>
            </w:pPr>
            <w:r w:rsidRPr="5E4D2593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>Some students struggle to manage their behaviour.</w:t>
            </w:r>
          </w:p>
        </w:tc>
      </w:tr>
      <w:tr w:rsidR="00293783" w14:paraId="6BC2A7F5" w14:textId="77777777" w:rsidTr="67E6F832">
        <w:trPr>
          <w:gridAfter w:val="1"/>
          <w:wAfter w:w="135" w:type="dxa"/>
          <w:trHeight w:val="70"/>
        </w:trPr>
        <w:tc>
          <w:tcPr>
            <w:tcW w:w="94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0F7F50" w14:textId="3D768BAA" w:rsidR="00293783" w:rsidRDefault="00293783" w:rsidP="355B87B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5E4D259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i</w:t>
            </w:r>
            <w:proofErr w:type="spellEnd"/>
          </w:p>
        </w:tc>
        <w:tc>
          <w:tcPr>
            <w:tcW w:w="14507" w:type="dxa"/>
            <w:gridSpan w:val="12"/>
            <w:shd w:val="clear" w:color="auto" w:fill="auto"/>
          </w:tcPr>
          <w:p w14:paraId="6E9203F0" w14:textId="1225F317" w:rsidR="00293783" w:rsidRDefault="00293783" w:rsidP="355B87B6">
            <w:pPr>
              <w:spacing w:line="240" w:lineRule="auto"/>
            </w:pPr>
            <w:r w:rsidRPr="5E4D2593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>Some students face significant challenges in their lives and have social, emotional and mental health needs that prevent them from learning.</w:t>
            </w:r>
          </w:p>
        </w:tc>
      </w:tr>
      <w:tr w:rsidR="00293783" w14:paraId="63AA623B" w14:textId="77777777" w:rsidTr="67E6F832">
        <w:trPr>
          <w:gridAfter w:val="1"/>
          <w:wAfter w:w="135" w:type="dxa"/>
          <w:trHeight w:val="70"/>
        </w:trPr>
        <w:tc>
          <w:tcPr>
            <w:tcW w:w="94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41174A3" w14:textId="070BD2CC" w:rsidR="00293783" w:rsidRDefault="00293783" w:rsidP="355B87B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14507" w:type="dxa"/>
            <w:gridSpan w:val="12"/>
            <w:shd w:val="clear" w:color="auto" w:fill="auto"/>
          </w:tcPr>
          <w:p w14:paraId="3BC22C69" w14:textId="22B6DAE8" w:rsidR="00293783" w:rsidRDefault="00293783" w:rsidP="355B87B6">
            <w:pPr>
              <w:spacing w:line="240" w:lineRule="auto"/>
            </w:pPr>
            <w:r w:rsidRPr="5E4D2593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>Some students have little aspiration for the future and so do not understand why they need to do well in their exams and so limit their own potential.</w:t>
            </w:r>
          </w:p>
        </w:tc>
      </w:tr>
      <w:tr w:rsidR="00293783" w14:paraId="7A6689B2" w14:textId="77777777" w:rsidTr="67E6F832">
        <w:trPr>
          <w:gridAfter w:val="1"/>
          <w:wAfter w:w="135" w:type="dxa"/>
          <w:trHeight w:val="70"/>
        </w:trPr>
        <w:tc>
          <w:tcPr>
            <w:tcW w:w="94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6E723D" w14:textId="375E353B" w:rsidR="00293783" w:rsidRDefault="00293783" w:rsidP="355B87B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14507" w:type="dxa"/>
            <w:gridSpan w:val="12"/>
            <w:shd w:val="clear" w:color="auto" w:fill="auto"/>
          </w:tcPr>
          <w:p w14:paraId="723EAB04" w14:textId="6F2CA24D" w:rsidR="00293783" w:rsidRDefault="00293783" w:rsidP="355B87B6">
            <w:pPr>
              <w:spacing w:line="240" w:lineRule="auto"/>
            </w:pPr>
            <w:r w:rsidRPr="5E4D2593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>Some students do not have access to a healthy diet which impacts on their general well-being.</w:t>
            </w:r>
          </w:p>
        </w:tc>
      </w:tr>
      <w:tr w:rsidR="00293783" w14:paraId="745B7F0A" w14:textId="77777777" w:rsidTr="67E6F832">
        <w:trPr>
          <w:gridAfter w:val="1"/>
          <w:wAfter w:w="135" w:type="dxa"/>
          <w:trHeight w:val="70"/>
        </w:trPr>
        <w:tc>
          <w:tcPr>
            <w:tcW w:w="94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03E5DD9" w14:textId="452217F1" w:rsidR="00293783" w:rsidRDefault="00293783" w:rsidP="355B87B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14507" w:type="dxa"/>
            <w:gridSpan w:val="12"/>
            <w:shd w:val="clear" w:color="auto" w:fill="auto"/>
          </w:tcPr>
          <w:p w14:paraId="2CE29E9C" w14:textId="13C5B5D4" w:rsidR="00293783" w:rsidRDefault="00293783" w:rsidP="355B87B6">
            <w:pPr>
              <w:spacing w:line="240" w:lineRule="auto"/>
            </w:pPr>
            <w:r w:rsidRPr="5E4D2593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>School uniform can cause significant challenges for some families</w:t>
            </w:r>
            <w:r w:rsidR="00751133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>.</w:t>
            </w:r>
          </w:p>
        </w:tc>
      </w:tr>
      <w:tr w:rsidR="00293783" w14:paraId="5F4CF7F3" w14:textId="77777777" w:rsidTr="67E6F832">
        <w:trPr>
          <w:gridAfter w:val="1"/>
          <w:wAfter w:w="135" w:type="dxa"/>
          <w:trHeight w:val="70"/>
        </w:trPr>
        <w:tc>
          <w:tcPr>
            <w:tcW w:w="94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691E79D" w14:textId="0E0DDF09" w:rsidR="00293783" w:rsidRDefault="00293783" w:rsidP="355B87B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4507" w:type="dxa"/>
            <w:gridSpan w:val="12"/>
            <w:shd w:val="clear" w:color="auto" w:fill="auto"/>
          </w:tcPr>
          <w:p w14:paraId="5E10E823" w14:textId="408D10B9" w:rsidR="00293783" w:rsidRDefault="00293783" w:rsidP="355B87B6">
            <w:pPr>
              <w:spacing w:line="240" w:lineRule="auto"/>
            </w:pPr>
            <w:r w:rsidRPr="5E4D2593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>Some students lack access to the internet and the use of computers to support their studies.</w:t>
            </w:r>
          </w:p>
        </w:tc>
      </w:tr>
      <w:tr w:rsidR="00293783" w14:paraId="77EB96C8" w14:textId="77777777" w:rsidTr="67E6F832">
        <w:trPr>
          <w:gridAfter w:val="1"/>
          <w:wAfter w:w="135" w:type="dxa"/>
          <w:trHeight w:val="70"/>
        </w:trPr>
        <w:tc>
          <w:tcPr>
            <w:tcW w:w="94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5341843" w14:textId="2EE2916C" w:rsidR="00293783" w:rsidRDefault="00293783" w:rsidP="355B87B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4507" w:type="dxa"/>
            <w:gridSpan w:val="12"/>
            <w:shd w:val="clear" w:color="auto" w:fill="auto"/>
          </w:tcPr>
          <w:p w14:paraId="2040E807" w14:textId="21323330" w:rsidR="00293783" w:rsidRDefault="00293783" w:rsidP="355B87B6">
            <w:pPr>
              <w:spacing w:line="240" w:lineRule="auto"/>
            </w:pPr>
            <w:r w:rsidRPr="5E4D2593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 xml:space="preserve">Some students lack </w:t>
            </w:r>
            <w:r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 xml:space="preserve">access to a suitable </w:t>
            </w:r>
            <w:r w:rsidRPr="5E4D2593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>space to study with adult support.</w:t>
            </w:r>
          </w:p>
        </w:tc>
      </w:tr>
      <w:tr w:rsidR="00293783" w14:paraId="4015CFC5" w14:textId="77777777" w:rsidTr="67E6F832">
        <w:trPr>
          <w:gridAfter w:val="1"/>
          <w:wAfter w:w="135" w:type="dxa"/>
          <w:trHeight w:val="70"/>
        </w:trPr>
        <w:tc>
          <w:tcPr>
            <w:tcW w:w="94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AEDCA70" w14:textId="572F35D2" w:rsidR="00293783" w:rsidRDefault="00293783" w:rsidP="355B87B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14507" w:type="dxa"/>
            <w:gridSpan w:val="12"/>
            <w:shd w:val="clear" w:color="auto" w:fill="auto"/>
          </w:tcPr>
          <w:p w14:paraId="118BABDA" w14:textId="7BA2C42D" w:rsidR="00293783" w:rsidRDefault="00293783" w:rsidP="355B87B6">
            <w:pPr>
              <w:spacing w:line="240" w:lineRule="auto"/>
            </w:pPr>
            <w:r w:rsidRPr="5E4D2593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>Some students need to experience a wealth of enrichment experiences in</w:t>
            </w:r>
            <w:r w:rsidR="00F258E0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 xml:space="preserve"> </w:t>
            </w:r>
            <w:r w:rsidRPr="5E4D2593">
              <w:rPr>
                <w:rFonts w:ascii="Arial" w:eastAsia="Arial" w:hAnsi="Arial" w:cs="Arial"/>
                <w:noProof/>
                <w:color w:val="646464"/>
                <w:sz w:val="21"/>
                <w:szCs w:val="21"/>
              </w:rPr>
              <w:t>order to widen their horizons and unlock future opportunities.</w:t>
            </w:r>
          </w:p>
        </w:tc>
      </w:tr>
      <w:tr w:rsidR="00293783" w:rsidRPr="004D387E" w14:paraId="29320F61" w14:textId="77777777" w:rsidTr="67E6F832">
        <w:trPr>
          <w:gridAfter w:val="1"/>
          <w:wAfter w:w="135" w:type="dxa"/>
        </w:trPr>
        <w:tc>
          <w:tcPr>
            <w:tcW w:w="7603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02AAC056" w14:textId="6A4887F7" w:rsidR="00293783" w:rsidRPr="004D387E" w:rsidRDefault="00293783" w:rsidP="355B87B6">
            <w:pPr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355B87B6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 xml:space="preserve">Intended outcomes </w:t>
            </w:r>
            <w:r w:rsidRPr="355B87B6">
              <w:rPr>
                <w:rFonts w:ascii="Arial" w:eastAsia="Times New Roman" w:hAnsi="Arial" w:cs="Arial"/>
                <w:i/>
                <w:iCs/>
                <w:color w:val="0D0D0D" w:themeColor="text1" w:themeTint="F2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7848" w:type="dxa"/>
            <w:gridSpan w:val="6"/>
            <w:shd w:val="clear" w:color="auto" w:fill="CFDCE3"/>
          </w:tcPr>
          <w:p w14:paraId="6BA161CE" w14:textId="77777777" w:rsidR="00293783" w:rsidRPr="004D387E" w:rsidRDefault="00293783" w:rsidP="004D387E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Success criteria</w:t>
            </w:r>
          </w:p>
        </w:tc>
      </w:tr>
      <w:tr w:rsidR="00293783" w:rsidRPr="004D387E" w14:paraId="79679573" w14:textId="77777777" w:rsidTr="67E6F832">
        <w:trPr>
          <w:gridAfter w:val="1"/>
          <w:wAfter w:w="135" w:type="dxa"/>
          <w:trHeight w:val="299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084CA3E" w14:textId="488060EB" w:rsidR="00293783" w:rsidRPr="004D387E" w:rsidRDefault="00293783" w:rsidP="355B87B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355B87B6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78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014F6360" w14:textId="1AAFEF94" w:rsidR="00293783" w:rsidRPr="004D387E" w:rsidRDefault="00C105CF" w:rsidP="05B05396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Reduce inconsistencies in T&amp;L</w:t>
            </w:r>
            <w:r w:rsidR="0008196B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 within and across subject areas in order to i</w:t>
            </w:r>
            <w:r w:rsidR="00293783" w:rsidRPr="05B05396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mprove levels of progress in all subject areas</w:t>
            </w:r>
            <w:r w:rsidR="0008196B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.</w:t>
            </w:r>
          </w:p>
        </w:tc>
        <w:tc>
          <w:tcPr>
            <w:tcW w:w="7848" w:type="dxa"/>
            <w:gridSpan w:val="6"/>
            <w:shd w:val="clear" w:color="auto" w:fill="auto"/>
          </w:tcPr>
          <w:p w14:paraId="7F78B196" w14:textId="7CFD30AC" w:rsidR="003B22C0" w:rsidRDefault="00751133" w:rsidP="7FA7A041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Appoint LP staff in the core subjects</w:t>
            </w:r>
            <w:r w:rsidR="003B22C0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 to contribute to the highest quality of provision in lessons. </w:t>
            </w:r>
          </w:p>
          <w:p w14:paraId="3509A6C9" w14:textId="16678958" w:rsidR="004D7719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All departmental staff have the opportunity to observe and be coached/mentored.</w:t>
            </w:r>
          </w:p>
          <w:p w14:paraId="19CE381F" w14:textId="63712B10" w:rsidR="004D7719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Termly assessment tracking shows a diminishing gap in progress from the KS2 gap on entry.</w:t>
            </w:r>
          </w:p>
          <w:p w14:paraId="33E8A1FE" w14:textId="35165E07" w:rsidR="00293783" w:rsidRPr="004D387E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An average progress score between the national figure and 0 for all PP pupils by the end of y11.</w:t>
            </w:r>
          </w:p>
          <w:p w14:paraId="5428CCD3" w14:textId="48A03CEC" w:rsidR="00293783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All </w:t>
            </w:r>
            <w:r w:rsidR="00751133"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staff </w:t>
            </w:r>
            <w:r w:rsidR="00751133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access high quality CPD</w:t>
            </w: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.</w:t>
            </w:r>
          </w:p>
          <w:p w14:paraId="095DDCC0" w14:textId="464E10FC" w:rsidR="00751133" w:rsidRPr="004D387E" w:rsidRDefault="00751133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Link closely with the local Research Schools to remain up to date with the latest evidence base.</w:t>
            </w:r>
          </w:p>
          <w:p w14:paraId="13FECF0E" w14:textId="118E7881" w:rsidR="00293783" w:rsidRPr="004D387E" w:rsidRDefault="00751133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Embed new learning structure</w:t>
            </w:r>
            <w:r w:rsidR="550D033F"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, along with s</w:t>
            </w:r>
            <w:r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taff CPD to improve long-term memory. Ensure challenge and support is </w:t>
            </w:r>
            <w:r w:rsidR="550D033F"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catered to the needs of PP students.</w:t>
            </w:r>
          </w:p>
          <w:p w14:paraId="5DA40BDA" w14:textId="2D676896" w:rsidR="00293783" w:rsidRPr="004D387E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Monitoring of T&amp;L is extended.</w:t>
            </w:r>
          </w:p>
        </w:tc>
      </w:tr>
      <w:tr w:rsidR="00293783" w14:paraId="471F5EEE" w14:textId="77777777" w:rsidTr="67E6F832">
        <w:trPr>
          <w:gridAfter w:val="1"/>
          <w:wAfter w:w="135" w:type="dxa"/>
          <w:trHeight w:val="299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EDABA5" w14:textId="5441C958" w:rsidR="00293783" w:rsidRDefault="00293783" w:rsidP="355B87B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78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066E0602" w14:textId="735D55DF" w:rsidR="00293783" w:rsidRDefault="00293783" w:rsidP="05B05396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E4D2593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Improve the reading age of students </w:t>
            </w:r>
          </w:p>
        </w:tc>
        <w:tc>
          <w:tcPr>
            <w:tcW w:w="7848" w:type="dxa"/>
            <w:gridSpan w:val="6"/>
            <w:shd w:val="clear" w:color="auto" w:fill="auto"/>
          </w:tcPr>
          <w:p w14:paraId="7454C278" w14:textId="21B19E05" w:rsidR="00293783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The gap between reading age and chronological age for PP students decreases at every assessment point.</w:t>
            </w:r>
          </w:p>
          <w:p w14:paraId="6DDC0EB3" w14:textId="670DD992" w:rsidR="00293783" w:rsidRDefault="00751133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lastRenderedPageBreak/>
              <w:t>Embed</w:t>
            </w:r>
            <w:r w:rsidR="550D033F"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 a whole school approach to improving literacy across the curriculum.</w:t>
            </w:r>
          </w:p>
          <w:p w14:paraId="1544DA20" w14:textId="48771A62" w:rsidR="00293783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Purchase of additional books to promote a positive culture for reading.</w:t>
            </w:r>
          </w:p>
          <w:p w14:paraId="6DCA6C3A" w14:textId="224B46C0" w:rsidR="00293783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Purchase of additional reading tuition software to enhance current provision within interventions.</w:t>
            </w:r>
          </w:p>
        </w:tc>
      </w:tr>
      <w:tr w:rsidR="00293783" w:rsidRPr="004D387E" w14:paraId="70591FF8" w14:textId="77777777" w:rsidTr="67E6F832">
        <w:trPr>
          <w:gridAfter w:val="1"/>
          <w:wAfter w:w="135" w:type="dxa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15DD59E9" w14:textId="1FED4F93" w:rsidR="00293783" w:rsidRPr="004D387E" w:rsidRDefault="00293783" w:rsidP="355B87B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355B87B6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lastRenderedPageBreak/>
              <w:t>c</w:t>
            </w:r>
          </w:p>
        </w:tc>
        <w:tc>
          <w:tcPr>
            <w:tcW w:w="678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67CF004E" w14:textId="57C300DD" w:rsidR="00293783" w:rsidRPr="004D387E" w:rsidRDefault="00293783" w:rsidP="05B05396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05B05396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Improve confidence and fluency in maths</w:t>
            </w:r>
          </w:p>
        </w:tc>
        <w:tc>
          <w:tcPr>
            <w:tcW w:w="7848" w:type="dxa"/>
            <w:gridSpan w:val="6"/>
            <w:shd w:val="clear" w:color="auto" w:fill="auto"/>
          </w:tcPr>
          <w:p w14:paraId="1B45EA67" w14:textId="18DB316F" w:rsidR="00293783" w:rsidRPr="004D387E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The number of PP students who are ‘WA’ in maths at each Assessment Point is increased.</w:t>
            </w:r>
          </w:p>
          <w:p w14:paraId="60EA8EE2" w14:textId="77CDABB9" w:rsidR="00293783" w:rsidRPr="004D387E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An average progress score of 0 in for all PP pupils by the end of y11.</w:t>
            </w:r>
          </w:p>
          <w:p w14:paraId="0B4BA72D" w14:textId="7C7D96CC" w:rsidR="00293783" w:rsidRPr="004D387E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Purchase additional maths tuition software to enhance current provision within interventions.</w:t>
            </w:r>
          </w:p>
        </w:tc>
      </w:tr>
      <w:tr w:rsidR="00293783" w14:paraId="1A660B1D" w14:textId="77777777" w:rsidTr="67E6F832">
        <w:trPr>
          <w:gridAfter w:val="1"/>
          <w:wAfter w:w="135" w:type="dxa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2E2917E8" w14:textId="64A5994C" w:rsidR="00293783" w:rsidRDefault="00293783" w:rsidP="355B87B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78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508DE5C3" w14:textId="50DFED7A" w:rsidR="00293783" w:rsidRDefault="00293783" w:rsidP="5E4D2593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E4D2593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Improve the confidence levels of more able students so that they can reach their potential </w:t>
            </w:r>
          </w:p>
        </w:tc>
        <w:tc>
          <w:tcPr>
            <w:tcW w:w="7848" w:type="dxa"/>
            <w:gridSpan w:val="6"/>
            <w:shd w:val="clear" w:color="auto" w:fill="auto"/>
          </w:tcPr>
          <w:p w14:paraId="0F8094E3" w14:textId="77777777" w:rsidR="004D7719" w:rsidRDefault="004D7719" w:rsidP="00293783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Assign Student Progress Mentors who have monthly meetings with MAT students. </w:t>
            </w:r>
          </w:p>
          <w:p w14:paraId="7BC33FB4" w14:textId="1654274F" w:rsidR="550D033F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PP MAT students are given regular access to the FE and HE experiences.</w:t>
            </w:r>
          </w:p>
          <w:p w14:paraId="6BA05046" w14:textId="67BC45B8" w:rsidR="00293783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MAT PP students achieve an average P8 score of 0 or above</w:t>
            </w:r>
          </w:p>
        </w:tc>
      </w:tr>
      <w:tr w:rsidR="00293783" w14:paraId="7AA9533A" w14:textId="77777777" w:rsidTr="67E6F832">
        <w:trPr>
          <w:gridAfter w:val="1"/>
          <w:wAfter w:w="135" w:type="dxa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4FE01C1" w14:textId="283644B0" w:rsidR="00293783" w:rsidRDefault="00293783" w:rsidP="5E4D259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78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01740AF7" w14:textId="5221AEFA" w:rsidR="00293783" w:rsidRDefault="00293783" w:rsidP="5E4D2593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E4D2593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Improve the basic skill levels of SEN students so that they can make good rates of progress </w:t>
            </w:r>
          </w:p>
        </w:tc>
        <w:tc>
          <w:tcPr>
            <w:tcW w:w="7848" w:type="dxa"/>
            <w:gridSpan w:val="6"/>
            <w:shd w:val="clear" w:color="auto" w:fill="auto"/>
          </w:tcPr>
          <w:p w14:paraId="733BF76A" w14:textId="4D8EC86E" w:rsidR="004D7719" w:rsidRDefault="004D7719" w:rsidP="00293783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Support plans highlight specific approaches to improve attainment of SEN students.</w:t>
            </w:r>
          </w:p>
          <w:p w14:paraId="79AC1134" w14:textId="5C5317D0" w:rsidR="004D7719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SEN PP students have access to an improved reading intervention programme.</w:t>
            </w:r>
          </w:p>
          <w:p w14:paraId="0B3DFC49" w14:textId="791E5C98" w:rsidR="004D7719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SEN students have access to a range of appropriate option choices at KS4.</w:t>
            </w:r>
          </w:p>
          <w:p w14:paraId="7AEC3128" w14:textId="77777777" w:rsidR="00293783" w:rsidRDefault="00293783" w:rsidP="00293783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The gap between reading age and chronological ages is reduced</w:t>
            </w:r>
          </w:p>
          <w:p w14:paraId="3D71940C" w14:textId="09792C02" w:rsidR="00293783" w:rsidRDefault="00293783" w:rsidP="00293783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P</w:t>
            </w:r>
            <w:r w:rsidRPr="5E4D2593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rogress scores are at 0</w:t>
            </w:r>
            <w:r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 or above</w:t>
            </w:r>
            <w:r w:rsidR="004D7719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 for SEN pp students.</w:t>
            </w:r>
          </w:p>
        </w:tc>
      </w:tr>
      <w:tr w:rsidR="00293783" w14:paraId="50C0D391" w14:textId="77777777" w:rsidTr="67E6F832">
        <w:trPr>
          <w:gridAfter w:val="1"/>
          <w:wAfter w:w="135" w:type="dxa"/>
          <w:trHeight w:val="366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779C0009" w14:textId="2F616E62" w:rsidR="00293783" w:rsidRDefault="00293783" w:rsidP="5E4D259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78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048B5393" w14:textId="5DD2801B" w:rsidR="00293783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Improve the attendance of students so that they are able to make good progress</w:t>
            </w:r>
          </w:p>
        </w:tc>
        <w:tc>
          <w:tcPr>
            <w:tcW w:w="7848" w:type="dxa"/>
            <w:gridSpan w:val="6"/>
            <w:shd w:val="clear" w:color="auto" w:fill="auto"/>
          </w:tcPr>
          <w:p w14:paraId="6813C951" w14:textId="0BFF51E4" w:rsidR="00293783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Enhanced range of awards linked to excellent attendance.</w:t>
            </w:r>
          </w:p>
          <w:p w14:paraId="3D708162" w14:textId="5D2AED00" w:rsidR="00293783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PP attendance mentor makes regular contact with pupils who are at risk of poor attendance.</w:t>
            </w:r>
          </w:p>
          <w:p w14:paraId="07F5CF82" w14:textId="13E517FA" w:rsidR="00293783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The gap between PP and non PP attendance closes (weekly updates via SLT meetings)</w:t>
            </w:r>
          </w:p>
          <w:p w14:paraId="638B53B6" w14:textId="67BB5687" w:rsidR="00293783" w:rsidRDefault="00293783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</w:p>
        </w:tc>
      </w:tr>
      <w:tr w:rsidR="00293783" w:rsidRPr="004D387E" w14:paraId="15F11176" w14:textId="77777777" w:rsidTr="67E6F832">
        <w:trPr>
          <w:gridAfter w:val="1"/>
          <w:wAfter w:w="135" w:type="dxa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262C56E5" w14:textId="3C86D1F0" w:rsidR="00293783" w:rsidRPr="004D387E" w:rsidRDefault="00293783" w:rsidP="5E4D2593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78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7D8B3A42" w14:textId="165F0125" w:rsidR="00293783" w:rsidRPr="004D387E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 Students get access to external support they need as quickly as possible</w:t>
            </w:r>
          </w:p>
          <w:p w14:paraId="0E0E54F4" w14:textId="7C4B5DF3" w:rsidR="00293783" w:rsidRPr="004D387E" w:rsidRDefault="00293783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</w:p>
        </w:tc>
        <w:tc>
          <w:tcPr>
            <w:tcW w:w="7848" w:type="dxa"/>
            <w:gridSpan w:val="6"/>
            <w:shd w:val="clear" w:color="auto" w:fill="auto"/>
          </w:tcPr>
          <w:p w14:paraId="255BDA24" w14:textId="52A185FC" w:rsidR="00293783" w:rsidRPr="004D387E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CPD updates for pastoral leaders (HOH).</w:t>
            </w:r>
          </w:p>
          <w:p w14:paraId="6C63D783" w14:textId="33E14474" w:rsidR="00293783" w:rsidRPr="004D387E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SENCO and HOH meet on a two weekly basis to ensure effective transfer on information about vulnerable students and to ensure that internal interventions and external professional support is accessed quickly.</w:t>
            </w:r>
          </w:p>
          <w:p w14:paraId="794A3FD9" w14:textId="774CBA47" w:rsidR="00293783" w:rsidRPr="004D387E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lastRenderedPageBreak/>
              <w:t>Reduction in the number of students being referred to the BSU/SSB.</w:t>
            </w:r>
          </w:p>
          <w:p w14:paraId="2A3B818B" w14:textId="5A6C9A3E" w:rsidR="00293783" w:rsidRPr="004D387E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Reduction in the number of permanent exclusions</w:t>
            </w:r>
          </w:p>
          <w:p w14:paraId="56DDCC3D" w14:textId="0550B758" w:rsidR="00293783" w:rsidRPr="004D387E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Complete the Mental Health Charter Mark</w:t>
            </w:r>
          </w:p>
        </w:tc>
      </w:tr>
      <w:tr w:rsidR="00293783" w:rsidRPr="004D387E" w14:paraId="5800A0A2" w14:textId="77777777" w:rsidTr="67E6F832">
        <w:trPr>
          <w:gridAfter w:val="1"/>
          <w:wAfter w:w="135" w:type="dxa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C37926A" w14:textId="053AE1FA" w:rsidR="00293783" w:rsidRPr="004D387E" w:rsidRDefault="00293783" w:rsidP="5E4D259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lastRenderedPageBreak/>
              <w:t>h</w:t>
            </w:r>
          </w:p>
        </w:tc>
        <w:tc>
          <w:tcPr>
            <w:tcW w:w="678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55109399" w14:textId="721BCBFE" w:rsidR="00293783" w:rsidRPr="004D387E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The amount learning time lost as a result of low-level disruption is significantly reduced </w:t>
            </w:r>
          </w:p>
          <w:p w14:paraId="67953A45" w14:textId="6ADE57B2" w:rsidR="00293783" w:rsidRPr="004D387E" w:rsidRDefault="00293783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</w:p>
          <w:p w14:paraId="5AF8CF56" w14:textId="0BF4A3DB" w:rsidR="00293783" w:rsidRPr="004D387E" w:rsidRDefault="00293783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</w:p>
        </w:tc>
        <w:tc>
          <w:tcPr>
            <w:tcW w:w="7848" w:type="dxa"/>
            <w:gridSpan w:val="6"/>
            <w:shd w:val="clear" w:color="auto" w:fill="auto"/>
          </w:tcPr>
          <w:p w14:paraId="53D44D94" w14:textId="77777777" w:rsidR="0053511B" w:rsidRDefault="0053511B" w:rsidP="0053511B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The number of on calls and requests for curriculum support reduce. </w:t>
            </w:r>
          </w:p>
          <w:p w14:paraId="143F3991" w14:textId="7CD263B5" w:rsidR="003B22C0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All staff attend Behaviour for Learning CPD to ensure the effective use of de-escalation approaches.</w:t>
            </w:r>
          </w:p>
          <w:p w14:paraId="478B4265" w14:textId="2F007A6E" w:rsidR="003B22C0" w:rsidRPr="004D387E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Learning ‘Lead Teachers’ to cascade the training approach via PEBL meetings.</w:t>
            </w:r>
          </w:p>
          <w:p w14:paraId="1637067D" w14:textId="4F941606" w:rsidR="003B22C0" w:rsidRPr="004D387E" w:rsidRDefault="550D033F" w:rsidP="550D033F">
            <w:pPr>
              <w:spacing w:after="0"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Weekly updates to staff about positive behaviour management approaches. </w:t>
            </w:r>
          </w:p>
        </w:tc>
      </w:tr>
      <w:tr w:rsidR="00293783" w14:paraId="734B7AD7" w14:textId="77777777" w:rsidTr="67E6F832">
        <w:trPr>
          <w:gridAfter w:val="1"/>
          <w:wAfter w:w="135" w:type="dxa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14A34AC" w14:textId="425F5D1C" w:rsidR="00293783" w:rsidRDefault="00293783" w:rsidP="5E4D259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5E4D2593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i</w:t>
            </w:r>
            <w:proofErr w:type="spellEnd"/>
          </w:p>
        </w:tc>
        <w:tc>
          <w:tcPr>
            <w:tcW w:w="678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2436F5E3" w14:textId="5ACC05CD" w:rsidR="00293783" w:rsidRDefault="67E6F832" w:rsidP="67E6F832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67E6F832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Ensure that school provides a safe haven for students and contact with adults who are trained to support them or refer them to the appropriate external agency.</w:t>
            </w:r>
          </w:p>
          <w:p w14:paraId="4B7D4E49" w14:textId="19047A6B" w:rsidR="003B22C0" w:rsidRDefault="003B22C0" w:rsidP="003B22C0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Build working relationships with feeder primary schools to ensure key information is used to aid the transition process for the most vulnerable students.</w:t>
            </w:r>
          </w:p>
        </w:tc>
        <w:tc>
          <w:tcPr>
            <w:tcW w:w="7848" w:type="dxa"/>
            <w:gridSpan w:val="6"/>
            <w:shd w:val="clear" w:color="auto" w:fill="auto"/>
          </w:tcPr>
          <w:p w14:paraId="4E990568" w14:textId="77777777" w:rsidR="00293783" w:rsidRDefault="0053511B" w:rsidP="0053511B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Pastoral support staff have regular access to student welfare CPD.</w:t>
            </w:r>
          </w:p>
          <w:p w14:paraId="54738B7E" w14:textId="1E26DDC0" w:rsidR="003B22C0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Pastoral staff (HOH) visit primary feeder schools to meet face to face with students, families and a primary link during the summer term of y6.</w:t>
            </w:r>
          </w:p>
          <w:p w14:paraId="7254CE5A" w14:textId="07180D4E" w:rsidR="003B22C0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Where required, students have a period of extended transition.</w:t>
            </w:r>
          </w:p>
          <w:p w14:paraId="1C221227" w14:textId="4D5098F4" w:rsidR="003B22C0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SENDCO makes additional visits to support transition for PP&amp; SEN students.</w:t>
            </w:r>
          </w:p>
          <w:p w14:paraId="06BB29D6" w14:textId="0550B758" w:rsidR="003B22C0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Complete the Mental Health Charter Mark</w:t>
            </w:r>
            <w:r w:rsidR="00751133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 (Silver)</w:t>
            </w:r>
          </w:p>
          <w:p w14:paraId="30C926CC" w14:textId="7ED1E0F4" w:rsidR="003B22C0" w:rsidRDefault="00751133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Staff development (emotion coaching)</w:t>
            </w:r>
          </w:p>
        </w:tc>
      </w:tr>
      <w:tr w:rsidR="00293783" w14:paraId="40E26C6D" w14:textId="77777777" w:rsidTr="67E6F832">
        <w:trPr>
          <w:gridAfter w:val="1"/>
          <w:wAfter w:w="135" w:type="dxa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A8D338" w14:textId="2AC1224A" w:rsidR="00293783" w:rsidRDefault="00293783" w:rsidP="5E4D259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5E4D2593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678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6787B08B" w14:textId="5F1459BF" w:rsidR="00293783" w:rsidRDefault="00293783" w:rsidP="7FA7A041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Establish an enhanced culture of aspiration within school. Students are taught how to become resilient and how to develop a growth </w:t>
            </w:r>
            <w:proofErr w:type="spellStart"/>
            <w:r w:rsidRPr="7FA7A041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mindset</w:t>
            </w:r>
            <w:proofErr w:type="spellEnd"/>
            <w:r w:rsidRPr="7FA7A041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. </w:t>
            </w:r>
          </w:p>
        </w:tc>
        <w:tc>
          <w:tcPr>
            <w:tcW w:w="7848" w:type="dxa"/>
            <w:gridSpan w:val="6"/>
            <w:shd w:val="clear" w:color="auto" w:fill="auto"/>
          </w:tcPr>
          <w:p w14:paraId="5BB5E1C4" w14:textId="19BAFAAC" w:rsidR="00293783" w:rsidRDefault="00293783" w:rsidP="7FA7A041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Whole school assemblies set the culture of aspiration, backed up by form tutors, subject teachers and y11 mentors.</w:t>
            </w:r>
          </w:p>
        </w:tc>
      </w:tr>
      <w:tr w:rsidR="00293783" w14:paraId="014F501E" w14:textId="77777777" w:rsidTr="67E6F832">
        <w:trPr>
          <w:gridAfter w:val="1"/>
          <w:wAfter w:w="135" w:type="dxa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7026ABB" w14:textId="0F3A0273" w:rsidR="00293783" w:rsidRDefault="00293783" w:rsidP="7FA7A04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7FA7A04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78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3ADF37AE" w14:textId="257BD946" w:rsidR="00293783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Set up free breakfast provision.</w:t>
            </w:r>
          </w:p>
          <w:p w14:paraId="52092F68" w14:textId="77777777" w:rsidR="00293783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Improve the quality of school meals. </w:t>
            </w:r>
          </w:p>
          <w:p w14:paraId="3D6FC952" w14:textId="3DBE98B4" w:rsidR="00751133" w:rsidRDefault="00751133" w:rsidP="00751133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Improve access to drinking water during the school day to aid concentration.</w:t>
            </w:r>
          </w:p>
        </w:tc>
        <w:tc>
          <w:tcPr>
            <w:tcW w:w="7848" w:type="dxa"/>
            <w:gridSpan w:val="6"/>
            <w:shd w:val="clear" w:color="auto" w:fill="auto"/>
          </w:tcPr>
          <w:p w14:paraId="4C73952C" w14:textId="768B8C64" w:rsidR="0053511B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All parents of PP students know they can access this enhanced provision. </w:t>
            </w:r>
          </w:p>
          <w:p w14:paraId="76BD1CAE" w14:textId="6AF8FA7A" w:rsidR="0053511B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Uptake increases.</w:t>
            </w:r>
          </w:p>
          <w:p w14:paraId="30A65A35" w14:textId="77777777" w:rsidR="0053511B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Increased update of healthy options.</w:t>
            </w:r>
          </w:p>
          <w:p w14:paraId="6A974C15" w14:textId="1491054A" w:rsidR="00751133" w:rsidRDefault="00F477D8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Increase the number of water fountains in accessible areas.</w:t>
            </w:r>
          </w:p>
        </w:tc>
      </w:tr>
      <w:tr w:rsidR="00293783" w14:paraId="6EDB3FC2" w14:textId="77777777" w:rsidTr="67E6F832">
        <w:trPr>
          <w:gridAfter w:val="1"/>
          <w:wAfter w:w="135" w:type="dxa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7350ED37" w14:textId="5EBDF6AA" w:rsidR="00293783" w:rsidRDefault="00293783" w:rsidP="7FA7A04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7FA7A04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78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15C58044" w14:textId="1E387A1B" w:rsidR="00293783" w:rsidRDefault="00293783" w:rsidP="7FA7A041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Provide funded access to uniform essentials for all PP students</w:t>
            </w:r>
          </w:p>
        </w:tc>
        <w:tc>
          <w:tcPr>
            <w:tcW w:w="7848" w:type="dxa"/>
            <w:gridSpan w:val="6"/>
            <w:shd w:val="clear" w:color="auto" w:fill="auto"/>
          </w:tcPr>
          <w:p w14:paraId="56DEAB26" w14:textId="6CC56EF5" w:rsidR="00293783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Increased numbers of PP parents claim for uniform costs.</w:t>
            </w:r>
          </w:p>
          <w:p w14:paraId="20864D7E" w14:textId="1A84A1BB" w:rsidR="00293783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Provide PE shirts </w:t>
            </w:r>
            <w:r w:rsidR="00F477D8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for all new </w:t>
            </w:r>
            <w:proofErr w:type="gramStart"/>
            <w:r w:rsidR="00F477D8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intake</w:t>
            </w:r>
            <w:proofErr w:type="gramEnd"/>
            <w:r w:rsidR="00F477D8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 </w:t>
            </w: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during transition days.</w:t>
            </w:r>
          </w:p>
        </w:tc>
      </w:tr>
      <w:tr w:rsidR="00293783" w14:paraId="54A6B804" w14:textId="77777777" w:rsidTr="67E6F832">
        <w:trPr>
          <w:gridAfter w:val="1"/>
          <w:wAfter w:w="135" w:type="dxa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11487AE9" w14:textId="202D0CE3" w:rsidR="00293783" w:rsidRDefault="00293783" w:rsidP="7FA7A04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7FA7A04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78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26A8E3A3" w14:textId="50CA015C" w:rsidR="00293783" w:rsidRDefault="0053511B" w:rsidP="00293783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Set up</w:t>
            </w:r>
            <w:r w:rsidR="00293783" w:rsidRPr="7FA7A041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 </w:t>
            </w:r>
            <w:r w:rsidR="00293783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access to a </w:t>
            </w:r>
            <w:r w:rsidR="00293783" w:rsidRPr="7FA7A041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resources room with a suite of PCs and library books so that students can access the</w:t>
            </w:r>
            <w:r w:rsidR="00293783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se for supervised study at lunchtime/</w:t>
            </w:r>
            <w:proofErr w:type="spellStart"/>
            <w:r w:rsidR="00293783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breaktime</w:t>
            </w:r>
            <w:proofErr w:type="spellEnd"/>
            <w:r w:rsidR="00293783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 and after school.</w:t>
            </w:r>
          </w:p>
        </w:tc>
        <w:tc>
          <w:tcPr>
            <w:tcW w:w="7848" w:type="dxa"/>
            <w:gridSpan w:val="6"/>
            <w:shd w:val="clear" w:color="auto" w:fill="auto"/>
          </w:tcPr>
          <w:p w14:paraId="47C778A0" w14:textId="2968C1A0" w:rsidR="00293783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Students have access to ICT during social times within the school day to allow them to develop their skill levels independently. </w:t>
            </w:r>
          </w:p>
          <w:p w14:paraId="264EA2EC" w14:textId="752D6089" w:rsidR="00293783" w:rsidRDefault="550D033F" w:rsidP="550D033F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Buy additional laptops which can be accessed by PP &amp; SEN pupils during </w:t>
            </w:r>
            <w:r w:rsidRPr="550D033F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lastRenderedPageBreak/>
              <w:t xml:space="preserve">school. </w:t>
            </w:r>
          </w:p>
        </w:tc>
      </w:tr>
      <w:tr w:rsidR="00293783" w14:paraId="2835CFFA" w14:textId="77777777" w:rsidTr="67E6F832">
        <w:trPr>
          <w:gridAfter w:val="1"/>
          <w:wAfter w:w="135" w:type="dxa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1F07BF" w14:textId="0AA5EB8D" w:rsidR="00293783" w:rsidRDefault="00293783" w:rsidP="7FA7A04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7FA7A04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lastRenderedPageBreak/>
              <w:t>n</w:t>
            </w:r>
          </w:p>
        </w:tc>
        <w:tc>
          <w:tcPr>
            <w:tcW w:w="678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0314DAE4" w14:textId="5109B9FB" w:rsidR="00293783" w:rsidRDefault="23DB6482" w:rsidP="23DB6482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23DB6482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Provide staff to run an after-school homework club in the Resources Room.</w:t>
            </w:r>
          </w:p>
        </w:tc>
        <w:tc>
          <w:tcPr>
            <w:tcW w:w="7848" w:type="dxa"/>
            <w:gridSpan w:val="6"/>
            <w:shd w:val="clear" w:color="auto" w:fill="auto"/>
          </w:tcPr>
          <w:p w14:paraId="08C229AC" w14:textId="07268EC5" w:rsidR="00293783" w:rsidRDefault="00293783" w:rsidP="7FA7A041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Homework club is regularly attended by PP students. Ho</w:t>
            </w:r>
            <w:r w:rsidR="0053511B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mework completion rates improve (reduction in C1 codes).</w:t>
            </w:r>
          </w:p>
        </w:tc>
      </w:tr>
      <w:tr w:rsidR="00293783" w14:paraId="5572FBBE" w14:textId="77777777" w:rsidTr="67E6F832">
        <w:trPr>
          <w:gridAfter w:val="1"/>
          <w:wAfter w:w="135" w:type="dxa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195AF2F" w14:textId="24D4C0B8" w:rsidR="00293783" w:rsidRDefault="00293783" w:rsidP="7FA7A04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7FA7A04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78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642A3C0F" w14:textId="7D5DCF01" w:rsidR="00293783" w:rsidRDefault="23DB6482" w:rsidP="23DB6482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23DB6482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Offer a range of opportunities for educational visits, to enhance the CEIAG offer in order to raise aspirations.</w:t>
            </w:r>
          </w:p>
        </w:tc>
        <w:tc>
          <w:tcPr>
            <w:tcW w:w="7848" w:type="dxa"/>
            <w:gridSpan w:val="6"/>
            <w:shd w:val="clear" w:color="auto" w:fill="auto"/>
          </w:tcPr>
          <w:p w14:paraId="6D097C02" w14:textId="77777777" w:rsidR="00293783" w:rsidRDefault="00293783" w:rsidP="7FA7A041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>An increasingly varied offer of trips and visits, with fully funded PP places.</w:t>
            </w:r>
          </w:p>
          <w:p w14:paraId="5F3C47BC" w14:textId="1F71D845" w:rsidR="003B22C0" w:rsidRDefault="23DB6482" w:rsidP="23DB6482">
            <w:pPr>
              <w:spacing w:line="240" w:lineRule="auto"/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</w:pPr>
            <w:r w:rsidRPr="23DB6482">
              <w:rPr>
                <w:rFonts w:ascii="Arial" w:eastAsia="Times New Roman" w:hAnsi="Arial" w:cs="Arial"/>
                <w:color w:val="747070" w:themeColor="background2" w:themeShade="7F"/>
                <w:lang w:eastAsia="en-GB"/>
              </w:rPr>
              <w:t xml:space="preserve">To run a weekly ‘news’ quizzes via tutor time to improve cultural and general knowledge. </w:t>
            </w:r>
          </w:p>
        </w:tc>
      </w:tr>
      <w:tr w:rsidR="00293783" w:rsidRPr="004D387E" w14:paraId="20C24E2D" w14:textId="77777777" w:rsidTr="67E6F832">
        <w:tc>
          <w:tcPr>
            <w:tcW w:w="15586" w:type="dxa"/>
            <w:gridSpan w:val="15"/>
            <w:shd w:val="clear" w:color="auto" w:fill="CFDCE3"/>
            <w:tcMar>
              <w:top w:w="57" w:type="dxa"/>
              <w:bottom w:w="57" w:type="dxa"/>
            </w:tcMar>
          </w:tcPr>
          <w:p w14:paraId="684100A3" w14:textId="026D75C4" w:rsidR="00293783" w:rsidRPr="004D387E" w:rsidRDefault="00293783" w:rsidP="355B87B6">
            <w:pPr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355B87B6">
              <w:rPr>
                <w:rFonts w:ascii="Arial" w:eastAsia="Times New Roman" w:hAnsi="Arial" w:cs="Times New Roman"/>
                <w:color w:val="0D0D0D" w:themeColor="text1" w:themeTint="F2"/>
                <w:sz w:val="24"/>
                <w:szCs w:val="24"/>
                <w:lang w:eastAsia="en-GB"/>
              </w:rPr>
              <w:br w:type="page"/>
            </w:r>
            <w:r w:rsidRPr="355B87B6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 xml:space="preserve">Planned expenditure </w:t>
            </w:r>
          </w:p>
        </w:tc>
      </w:tr>
      <w:tr w:rsidR="00293783" w:rsidRPr="004D387E" w14:paraId="33575223" w14:textId="77777777" w:rsidTr="67E6F832">
        <w:tc>
          <w:tcPr>
            <w:tcW w:w="243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593DC978" w14:textId="1BD7B45A" w:rsidR="00293783" w:rsidRPr="004D387E" w:rsidRDefault="00293783" w:rsidP="004D387E">
            <w:pPr>
              <w:spacing w:after="0" w:line="240" w:lineRule="auto"/>
              <w:ind w:hanging="35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   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3148" w:type="dxa"/>
            <w:gridSpan w:val="10"/>
            <w:shd w:val="clear" w:color="auto" w:fill="auto"/>
          </w:tcPr>
          <w:p w14:paraId="3266F87B" w14:textId="27406402" w:rsidR="00293783" w:rsidRPr="004D387E" w:rsidRDefault="00293783" w:rsidP="7FA7A041">
            <w:pPr>
              <w:spacing w:after="0" w:line="240" w:lineRule="auto"/>
              <w:ind w:left="720" w:hanging="357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7FA7A041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201</w:t>
            </w:r>
            <w:r w:rsidR="00F477D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9-20</w:t>
            </w:r>
          </w:p>
        </w:tc>
      </w:tr>
      <w:tr w:rsidR="00293783" w:rsidRPr="004D387E" w14:paraId="14DCD915" w14:textId="77777777" w:rsidTr="67E6F832">
        <w:tc>
          <w:tcPr>
            <w:tcW w:w="15586" w:type="dxa"/>
            <w:gridSpan w:val="15"/>
            <w:shd w:val="clear" w:color="auto" w:fill="CFDCE3"/>
            <w:tcMar>
              <w:top w:w="57" w:type="dxa"/>
              <w:bottom w:w="57" w:type="dxa"/>
            </w:tcMar>
          </w:tcPr>
          <w:p w14:paraId="37F6DF2F" w14:textId="77777777" w:rsidR="00293783" w:rsidRPr="004D387E" w:rsidRDefault="00293783" w:rsidP="004D387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three headings enable you to demonstrate how you are using the Pupil Premium to improve classroom pedagogy, provide targeted support and support whole school strategies.</w:t>
            </w:r>
          </w:p>
        </w:tc>
      </w:tr>
      <w:tr w:rsidR="00293783" w:rsidRPr="004D387E" w14:paraId="1D9E7F40" w14:textId="77777777" w:rsidTr="67E6F832">
        <w:tc>
          <w:tcPr>
            <w:tcW w:w="15586" w:type="dxa"/>
            <w:gridSpan w:val="1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780A748" w14:textId="77777777" w:rsidR="00293783" w:rsidRPr="004D387E" w:rsidRDefault="00293783" w:rsidP="004D387E">
            <w:pPr>
              <w:numPr>
                <w:ilvl w:val="0"/>
                <w:numId w:val="1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293783" w:rsidRPr="004D387E" w14:paraId="4753FBD4" w14:textId="77777777" w:rsidTr="67E6F832">
        <w:trPr>
          <w:trHeight w:val="289"/>
        </w:trPr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64848B19" w14:textId="77777777" w:rsidR="00293783" w:rsidRPr="004D387E" w:rsidRDefault="0029378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Action 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BD9178C" w14:textId="77777777" w:rsidR="00293783" w:rsidRPr="004D387E" w:rsidRDefault="0029378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Intended outcome</w:t>
            </w: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692B0D" w14:textId="4967EA2B" w:rsidR="00293783" w:rsidRPr="004D387E" w:rsidRDefault="0029378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7A57FB7" w14:textId="77777777" w:rsidR="00293783" w:rsidRPr="004D387E" w:rsidRDefault="0029378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23218233" w14:textId="77777777" w:rsidR="00293783" w:rsidRPr="004D387E" w:rsidRDefault="0029378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578C9599" w14:textId="77777777" w:rsidR="00293783" w:rsidRPr="004D387E" w:rsidRDefault="0029378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550D033F" w14:paraId="4714F9B1" w14:textId="77777777" w:rsidTr="67E6F832">
        <w:trPr>
          <w:trHeight w:val="2059"/>
        </w:trPr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68C9BEBB" w14:textId="0911400C" w:rsidR="550D033F" w:rsidRDefault="23DB6482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>a. Recruit a team of Lead practitioner staff in core subjects to consistently demonstrate outstanding T&amp;L.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3F28EC" w14:textId="3039B47C" w:rsidR="550D033F" w:rsidRDefault="23DB6482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>Improved P8 scores in maths and English.</w:t>
            </w: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65B581F" w14:textId="287E4C53" w:rsidR="550D033F" w:rsidRDefault="23DB6482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>School data highlights the need to improve progress in the core subjects.</w:t>
            </w:r>
          </w:p>
          <w:p w14:paraId="1A55D4F2" w14:textId="556B721E" w:rsidR="550D033F" w:rsidRDefault="550D033F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7CE0532" w14:textId="6687D363" w:rsidR="550D033F" w:rsidRDefault="23DB6482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>Staff in place.</w:t>
            </w:r>
          </w:p>
          <w:p w14:paraId="1469D094" w14:textId="3758B060" w:rsidR="550D033F" w:rsidRDefault="23DB6482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>Routine monitoring identifies the impact of the provision.</w:t>
            </w:r>
          </w:p>
          <w:p w14:paraId="02FA898A" w14:textId="3C2C05B4" w:rsidR="550D033F" w:rsidRDefault="550D033F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  <w:p w14:paraId="6E466B81" w14:textId="596646D0" w:rsidR="550D033F" w:rsidRDefault="550D033F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0E98F580" w14:textId="64651740" w:rsidR="550D033F" w:rsidRDefault="23DB6482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>SG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4A6C61FA" w14:textId="4D26EBFD" w:rsidR="550D033F" w:rsidRDefault="00F477D8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>June 2020</w:t>
            </w:r>
          </w:p>
        </w:tc>
      </w:tr>
      <w:tr w:rsidR="23DB6482" w14:paraId="77CE6BE6" w14:textId="77777777" w:rsidTr="67E6F832">
        <w:trPr>
          <w:trHeight w:val="2059"/>
        </w:trPr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1999FD14" w14:textId="2E0BD2B1" w:rsidR="23DB6482" w:rsidRDefault="23DB6482" w:rsidP="00F477D8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a. </w:t>
            </w:r>
            <w:r w:rsidR="00F477D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>Deliver a programme of high quality CPD to all staff (based on the Every lesson outstanding programme)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94FDB08" w14:textId="7772950B" w:rsidR="23DB6482" w:rsidRDefault="23DB6482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Teaching is closely matched to the needs of all students, enabling them to make faster rates of progress. </w:t>
            </w: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AC590BD" w14:textId="43067424" w:rsidR="23DB6482" w:rsidRDefault="23DB6482" w:rsidP="23DB648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23DB64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>Ofsted March 2018, highlighted that ‘</w:t>
            </w:r>
            <w:r w:rsidRPr="23DB6482">
              <w:rPr>
                <w:rFonts w:ascii="Arial" w:eastAsia="Arial" w:hAnsi="Arial" w:cs="Arial"/>
                <w:sz w:val="18"/>
                <w:szCs w:val="18"/>
              </w:rPr>
              <w:t>pupils are compliant and often passive because the</w:t>
            </w:r>
            <w:r>
              <w:br/>
            </w:r>
            <w:r w:rsidRPr="23DB6482">
              <w:rPr>
                <w:rFonts w:ascii="Arial" w:eastAsia="Arial" w:hAnsi="Arial" w:cs="Arial"/>
                <w:sz w:val="18"/>
                <w:szCs w:val="18"/>
              </w:rPr>
              <w:t>demands placed on them are sometimes not high enough.’</w:t>
            </w:r>
          </w:p>
          <w:p w14:paraId="03DAD516" w14:textId="6B5F7BF4" w:rsidR="23DB6482" w:rsidRDefault="23DB6482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  <w:p w14:paraId="4EF0BB7A" w14:textId="1AE8C777" w:rsidR="23DB6482" w:rsidRDefault="23DB6482" w:rsidP="23DB6482">
            <w:pPr>
              <w:spacing w:line="28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br/>
            </w: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FD0517D" w14:textId="6A45BE1D" w:rsidR="23DB6482" w:rsidRDefault="23DB6482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>Built into school CPD calendar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38963C02" w14:textId="3E68EFCB" w:rsidR="23DB6482" w:rsidRDefault="23DB6482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>JM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02CDC347" w14:textId="12BC25C5" w:rsidR="23DB6482" w:rsidRDefault="00F477D8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>July 2020</w:t>
            </w:r>
          </w:p>
        </w:tc>
      </w:tr>
      <w:tr w:rsidR="00293783" w:rsidRPr="004D387E" w14:paraId="0B67855A" w14:textId="77777777" w:rsidTr="67E6F832">
        <w:trPr>
          <w:trHeight w:hRule="exact" w:val="2059"/>
        </w:trPr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7BF0C768" w14:textId="1524FB7E" w:rsidR="00293783" w:rsidRPr="004D387E" w:rsidRDefault="23DB6482" w:rsidP="23DB6482">
            <w:pPr>
              <w:spacing w:after="0"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a. Create a common planning format which sets out the basic expectations for all lessons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E6D72E" w14:textId="352935BD" w:rsidR="00293783" w:rsidRPr="004D387E" w:rsidRDefault="23DB6482" w:rsidP="23DB6482">
            <w:pPr>
              <w:spacing w:after="0"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Clarity of purpose and understanding </w:t>
            </w:r>
          </w:p>
          <w:p w14:paraId="5F1EE75A" w14:textId="324E025F" w:rsidR="00293783" w:rsidRPr="004D387E" w:rsidRDefault="23DB6482" w:rsidP="23DB6482">
            <w:pPr>
              <w:spacing w:after="0"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  <w:t>Ensure appropriate differentiation for all</w:t>
            </w: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B8155EB" w14:textId="45C8D2BD" w:rsidR="00293783" w:rsidRPr="004D387E" w:rsidRDefault="23DB6482" w:rsidP="23DB6482">
            <w:pPr>
              <w:spacing w:after="0"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>Ofsted March 2018, highlighted ‘inconsistencies in the quality of teaching and learning.</w:t>
            </w:r>
          </w:p>
          <w:p w14:paraId="3F9E4A3A" w14:textId="1C7314BA" w:rsidR="00293783" w:rsidRPr="004D387E" w:rsidRDefault="00293783" w:rsidP="23DB6482">
            <w:pPr>
              <w:spacing w:after="0"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3FB043A" w14:textId="75E17497" w:rsidR="00293783" w:rsidRPr="004D387E" w:rsidRDefault="23DB6482" w:rsidP="23DB6482">
            <w:pPr>
              <w:spacing w:after="0"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  <w:t>Shared planning expectations</w:t>
            </w:r>
          </w:p>
          <w:p w14:paraId="4E85816F" w14:textId="7E267F4A" w:rsidR="00293783" w:rsidRPr="004D387E" w:rsidRDefault="23DB6482" w:rsidP="23DB6482">
            <w:pPr>
              <w:spacing w:after="0"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  <w:t>Guided planning</w:t>
            </w:r>
          </w:p>
          <w:p w14:paraId="36926771" w14:textId="7385E6C5" w:rsidR="00293783" w:rsidRPr="004D387E" w:rsidRDefault="23DB6482" w:rsidP="23DB6482">
            <w:pPr>
              <w:spacing w:after="0"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  <w:t>Observation feedback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299721C2" w14:textId="3DA0C1C9" w:rsidR="00293783" w:rsidRPr="004D387E" w:rsidRDefault="23DB6482" w:rsidP="23DB6482">
            <w:pPr>
              <w:spacing w:after="0"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JM &amp; HM 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25F6E2CC" w14:textId="65B37D2E" w:rsidR="00293783" w:rsidRPr="004D387E" w:rsidRDefault="00F477D8" w:rsidP="23DB6482">
            <w:pPr>
              <w:spacing w:after="0"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  <w:t>September 2019</w:t>
            </w:r>
          </w:p>
        </w:tc>
      </w:tr>
      <w:tr w:rsidR="00293783" w14:paraId="2F188ABB" w14:textId="77777777" w:rsidTr="67E6F832">
        <w:trPr>
          <w:trHeight w:val="651"/>
        </w:trPr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33F2B9E" w14:textId="348BFF54" w:rsidR="00293783" w:rsidRDefault="23DB6482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>a. Use staff meetings and CPD time to conduct collaborative monitoring and feedback activities.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38AF4C9" w14:textId="25FCEDF5" w:rsidR="00293783" w:rsidRDefault="23DB6482" w:rsidP="23DB6482">
            <w:pPr>
              <w:spacing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  <w:t>Staff reflect on the quality of feedback and marking. They ensure feedback uses praise and specific next steps.</w:t>
            </w: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959EAF5" w14:textId="28C19590" w:rsidR="00293783" w:rsidRDefault="23DB6482" w:rsidP="23DB6482">
            <w:pPr>
              <w:spacing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 EEF identifies that when given properly, feedback improves progress by 8 months.</w:t>
            </w:r>
          </w:p>
          <w:p w14:paraId="3EC9FF5C" w14:textId="013D71C4" w:rsidR="00293783" w:rsidRDefault="00315BBB" w:rsidP="23DB6482">
            <w:pPr>
              <w:spacing w:line="288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9">
              <w:r w:rsidR="23DB6482" w:rsidRPr="23DB6482">
                <w:rPr>
                  <w:rStyle w:val="Hyperlink"/>
                  <w:rFonts w:eastAsia="Arial" w:cs="Arial"/>
                  <w:sz w:val="18"/>
                  <w:szCs w:val="18"/>
                </w:rPr>
                <w:t>https://educationendowmentfoundation.org.uk/school-themes/feedback-monitoring-pupil-progress/</w:t>
              </w:r>
            </w:hyperlink>
            <w:r w:rsidR="23DB6482" w:rsidRPr="23DB648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2EC8A1C" w14:textId="36D528B7" w:rsidR="00293783" w:rsidRDefault="00293783" w:rsidP="23DB6482">
            <w:pPr>
              <w:spacing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59E187C" w14:textId="64074EB1" w:rsidR="00293783" w:rsidRDefault="23DB6482" w:rsidP="23DB6482">
            <w:pPr>
              <w:spacing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  <w:t>Lesson observations and work scrutiny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3337E070" w14:textId="3421BF18" w:rsidR="00293783" w:rsidRDefault="23DB6482" w:rsidP="23DB6482">
            <w:pPr>
              <w:spacing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  <w:t>JM &amp; HM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58C1C032" w14:textId="169BD8B0" w:rsidR="00293783" w:rsidRDefault="00F477D8" w:rsidP="23DB6482">
            <w:pPr>
              <w:spacing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Weekly </w:t>
            </w:r>
          </w:p>
        </w:tc>
      </w:tr>
      <w:tr w:rsidR="00293783" w14:paraId="29DA9783" w14:textId="77777777" w:rsidTr="67E6F832">
        <w:trPr>
          <w:trHeight w:val="651"/>
        </w:trPr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2575ADA" w14:textId="605B01B0" w:rsidR="00293783" w:rsidRDefault="23DB6482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a.  Ensure staff have access to baseline information which ensures high expectations for all 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6A45A06" w14:textId="0D857D68" w:rsidR="00293783" w:rsidRDefault="23DB6482" w:rsidP="23DB6482">
            <w:pPr>
              <w:spacing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High expectations for all, based on prior attainment data </w:t>
            </w: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A1942FC" w14:textId="271F94D1" w:rsidR="00293783" w:rsidRDefault="23DB6482" w:rsidP="23DB6482">
            <w:pPr>
              <w:spacing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Ofsted 2018 </w:t>
            </w:r>
          </w:p>
          <w:p w14:paraId="231F1D55" w14:textId="254AD6D6" w:rsidR="00293783" w:rsidRDefault="23DB6482" w:rsidP="23DB6482">
            <w:pPr>
              <w:spacing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Some lesson observations illustrate low expectations of capabilities </w:t>
            </w:r>
          </w:p>
          <w:p w14:paraId="7B420DDF" w14:textId="37A7A1FE" w:rsidR="00293783" w:rsidRDefault="00293783" w:rsidP="23DB6482">
            <w:pPr>
              <w:spacing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136D3A" w14:textId="70EA849E" w:rsidR="00293783" w:rsidRDefault="23DB6482" w:rsidP="23DB6482">
            <w:pPr>
              <w:spacing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Give printed copies to staff. </w:t>
            </w:r>
          </w:p>
          <w:p w14:paraId="62F3EB61" w14:textId="752DB69B" w:rsidR="00293783" w:rsidRDefault="23DB6482" w:rsidP="23DB6482">
            <w:pPr>
              <w:spacing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  <w:t>Guided support to access the baseline data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6331B248" w14:textId="44B38D8B" w:rsidR="00293783" w:rsidRDefault="23DB6482" w:rsidP="23DB6482">
            <w:pPr>
              <w:spacing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  <w:t>JD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5C7F9612" w14:textId="07E4F041" w:rsidR="00293783" w:rsidRDefault="00F477D8" w:rsidP="23DB6482">
            <w:pPr>
              <w:spacing w:line="288" w:lineRule="auto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eastAsia="en-GB"/>
              </w:rPr>
              <w:t>September 2019</w:t>
            </w:r>
          </w:p>
        </w:tc>
      </w:tr>
      <w:tr w:rsidR="550D033F" w14:paraId="5362D881" w14:textId="77777777" w:rsidTr="67E6F832">
        <w:trPr>
          <w:trHeight w:val="651"/>
        </w:trPr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13AB51F9" w14:textId="03EC9295" w:rsidR="550D033F" w:rsidRDefault="23DB6482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b. Develop a whole school approach to supporting literacy development. 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45D1305" w14:textId="3E642F9F" w:rsidR="550D033F" w:rsidRDefault="23DB6482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>Students have greater fluency and confidence in terms of speaking and listening and the use of formal language.</w:t>
            </w:r>
          </w:p>
          <w:p w14:paraId="64C173A7" w14:textId="125D6225" w:rsidR="550D033F" w:rsidRDefault="23DB6482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The range of vocabulary in use is broadened. </w:t>
            </w: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889FAD4" w14:textId="4EF5ED95" w:rsidR="550D033F" w:rsidRDefault="23DB6482" w:rsidP="23DB6482">
            <w:pPr>
              <w:spacing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Many students are unable to adapt their language skills for different audiences and purposes. </w:t>
            </w:r>
          </w:p>
          <w:p w14:paraId="170257E8" w14:textId="58A14A24" w:rsidR="550D033F" w:rsidRDefault="23DB6482" w:rsidP="23DB6482">
            <w:pPr>
              <w:spacing w:line="288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3DB6482">
              <w:rPr>
                <w:rFonts w:ascii="Arial" w:eastAsia="Arial" w:hAnsi="Arial" w:cs="Arial"/>
                <w:sz w:val="18"/>
                <w:szCs w:val="18"/>
              </w:rPr>
              <w:t>Ofsted 2018- ‘Errors</w:t>
            </w:r>
            <w:r w:rsidR="550D033F">
              <w:br/>
            </w:r>
            <w:r w:rsidRPr="23DB6482">
              <w:rPr>
                <w:rFonts w:ascii="Arial" w:eastAsia="Arial" w:hAnsi="Arial" w:cs="Arial"/>
                <w:sz w:val="18"/>
                <w:szCs w:val="18"/>
              </w:rPr>
              <w:t>in literacy are often corrected in line with the school’s policy, but, even when they are,</w:t>
            </w:r>
            <w:r w:rsidR="550D033F">
              <w:br/>
            </w:r>
            <w:r w:rsidRPr="23DB6482">
              <w:rPr>
                <w:rFonts w:ascii="Arial" w:eastAsia="Arial" w:hAnsi="Arial" w:cs="Arial"/>
                <w:sz w:val="18"/>
                <w:szCs w:val="18"/>
              </w:rPr>
              <w:t>errors persist in some books.’</w:t>
            </w:r>
          </w:p>
          <w:p w14:paraId="77A2C1D9" w14:textId="33EBC653" w:rsidR="550D033F" w:rsidRDefault="550D033F" w:rsidP="23DB6482">
            <w:pPr>
              <w:spacing w:line="28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br/>
            </w:r>
            <w:r>
              <w:br/>
            </w: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CF9D779" w14:textId="2D0D22CC" w:rsidR="550D033F" w:rsidRDefault="550D033F" w:rsidP="550D033F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Staff CPD</w:t>
            </w:r>
          </w:p>
          <w:p w14:paraId="3104FFE4" w14:textId="674AA150" w:rsidR="550D033F" w:rsidRDefault="550D033F" w:rsidP="550D033F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Access to support materials.</w:t>
            </w:r>
          </w:p>
          <w:p w14:paraId="18ADCC08" w14:textId="1761CF72" w:rsidR="550D033F" w:rsidRDefault="550D033F" w:rsidP="550D033F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Whole school launch of programme.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6B626AFB" w14:textId="3F93CD1D" w:rsidR="550D033F" w:rsidRDefault="550D033F" w:rsidP="550D033F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JM and JA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7B4F3236" w14:textId="00FCEF49" w:rsidR="550D033F" w:rsidRDefault="00F477D8" w:rsidP="550D033F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September 2019</w:t>
            </w:r>
          </w:p>
        </w:tc>
      </w:tr>
      <w:tr w:rsidR="00293783" w14:paraId="3D55563E" w14:textId="77777777" w:rsidTr="67E6F832">
        <w:trPr>
          <w:trHeight w:val="661"/>
        </w:trPr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75C2D92A" w14:textId="72F60308" w:rsidR="00293783" w:rsidRDefault="550D033F" w:rsidP="550D033F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proofErr w:type="spellStart"/>
            <w:r w:rsidRPr="550D033F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c.Purchase</w:t>
            </w:r>
            <w:proofErr w:type="spellEnd"/>
            <w:r w:rsidRPr="550D033F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 maths booster materials 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1B5825" w14:textId="17C154D7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Use My maths to enhance homework provision.</w:t>
            </w:r>
          </w:p>
          <w:p w14:paraId="38FF5FA0" w14:textId="3CD26DF0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Booster maths material to improve the quality of small group interventions.</w:t>
            </w:r>
          </w:p>
          <w:p w14:paraId="6A2E1670" w14:textId="4C84F995" w:rsidR="00293783" w:rsidRDefault="550D033F" w:rsidP="550D033F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lastRenderedPageBreak/>
              <w:t xml:space="preserve">Use </w:t>
            </w:r>
            <w:proofErr w:type="spellStart"/>
            <w:r w:rsidRPr="550D033F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Timestables</w:t>
            </w:r>
            <w:proofErr w:type="spellEnd"/>
            <w:r w:rsidRPr="550D033F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550D033F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rockstars</w:t>
            </w:r>
            <w:proofErr w:type="spellEnd"/>
            <w:r w:rsidRPr="550D033F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 at KS3 – to improve fluency and agility of recall</w:t>
            </w:r>
          </w:p>
          <w:p w14:paraId="14058DDA" w14:textId="3B6B6EB0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005572E" w14:textId="77777777" w:rsidR="00293783" w:rsidRDefault="0053511B" w:rsidP="7FA7A041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lastRenderedPageBreak/>
              <w:t>High number of students arrive in KS3 below national expectation in maths. Improving confidence and rapid recall enhances progress.</w:t>
            </w:r>
          </w:p>
          <w:p w14:paraId="2EF3DAA6" w14:textId="40829B4A" w:rsidR="0053511B" w:rsidRDefault="00315BBB" w:rsidP="7FA7A041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hyperlink r:id="rId10" w:history="1">
              <w:r w:rsidR="0053511B" w:rsidRPr="00171D82">
                <w:rPr>
                  <w:rStyle w:val="Hyperlink"/>
                  <w:rFonts w:eastAsia="Times New Roman" w:cs="Arial"/>
                  <w:sz w:val="18"/>
                  <w:szCs w:val="18"/>
                  <w:lang w:eastAsia="en-GB"/>
                </w:rPr>
                <w:t>https://ttrockstars.com/home</w:t>
              </w:r>
            </w:hyperlink>
          </w:p>
          <w:p w14:paraId="297BC341" w14:textId="6AE359AB" w:rsidR="0053511B" w:rsidRDefault="0053511B" w:rsidP="7FA7A041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B742BC8" w14:textId="74321025" w:rsidR="00293783" w:rsidRDefault="0053511B" w:rsidP="7FA7A041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KS3 Progress leader to monitor impact after each Assessment Point. 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62DECA46" w14:textId="5C3DFAB4" w:rsidR="00293783" w:rsidRDefault="550D033F" w:rsidP="550D033F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550D033F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188F7967" w14:textId="48289045" w:rsidR="00293783" w:rsidRDefault="00F477D8" w:rsidP="7FA7A041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July 2020</w:t>
            </w:r>
          </w:p>
        </w:tc>
      </w:tr>
      <w:tr w:rsidR="00293783" w14:paraId="5EFBEB0D" w14:textId="77777777" w:rsidTr="67E6F832">
        <w:trPr>
          <w:trHeight w:val="661"/>
        </w:trPr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62E4241" w14:textId="638A7E93" w:rsidR="00293783" w:rsidRDefault="550D033F" w:rsidP="550D033F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proofErr w:type="spellStart"/>
            <w:r w:rsidRPr="550D033F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lastRenderedPageBreak/>
              <w:t>h.Reduce</w:t>
            </w:r>
            <w:proofErr w:type="spellEnd"/>
            <w:r w:rsidRPr="550D033F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 the amount of learning time lost dealing with low level disruption 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7337001" w14:textId="77777777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Support a learning culture within school, so that students can make faster progress in lessons </w:t>
            </w:r>
          </w:p>
          <w:p w14:paraId="50118145" w14:textId="6B5CCC26" w:rsidR="00F477D8" w:rsidRDefault="00F477D8" w:rsidP="7FA7A041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Restructure staffing so that each year group has a pastoral lead</w:t>
            </w: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085F487" w14:textId="2E401C62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High number of behaviour logs.</w:t>
            </w:r>
          </w:p>
          <w:p w14:paraId="46D421A4" w14:textId="1A29BB75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EEF suggests 3 month gain in </w:t>
            </w:r>
            <w:proofErr w:type="gramStart"/>
            <w:r w:rsidRPr="7FA7A041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progress  when</w:t>
            </w:r>
            <w:proofErr w:type="gramEnd"/>
            <w:r w:rsidRPr="7FA7A041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 behaviour interventions are used effectively.</w:t>
            </w:r>
          </w:p>
          <w:p w14:paraId="26A0F8D5" w14:textId="503B9533" w:rsidR="00293783" w:rsidRDefault="00315BBB" w:rsidP="4AB6214C">
            <w:pPr>
              <w:spacing w:line="288" w:lineRule="auto"/>
            </w:pPr>
            <w:hyperlink r:id="rId11">
              <w:r w:rsidR="00293783" w:rsidRPr="7FA7A041">
                <w:rPr>
                  <w:rStyle w:val="Hyperlink"/>
                  <w:rFonts w:eastAsia="Arial" w:cs="Arial"/>
                  <w:sz w:val="18"/>
                  <w:szCs w:val="18"/>
                </w:rPr>
                <w:t>https://educationendowmentfoundation.org.uk/evidence-summaries/teaching-learning-toolkit/behaviour-interventions/</w:t>
              </w:r>
            </w:hyperlink>
          </w:p>
          <w:p w14:paraId="17209174" w14:textId="07CD590E" w:rsidR="00293783" w:rsidRDefault="00293783" w:rsidP="7FA7A041">
            <w:pPr>
              <w:spacing w:line="288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EA4823F" w14:textId="531BF32E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Change of leadership structure</w:t>
            </w:r>
          </w:p>
          <w:p w14:paraId="581F27A0" w14:textId="792B28BD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Change in staffing arrangements</w:t>
            </w:r>
          </w:p>
          <w:p w14:paraId="1F3A4D2C" w14:textId="22D1303B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Investment in Pivotal training to equip staff to deal with low level distractions.</w:t>
            </w:r>
          </w:p>
          <w:p w14:paraId="4D83496F" w14:textId="6BBEAD81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Use of behaviour specialist consultant in school.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67256FC4" w14:textId="7063E7BA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RC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427E3D1E" w14:textId="371592FF" w:rsidR="00293783" w:rsidRDefault="00F477D8" w:rsidP="550D033F">
            <w:pPr>
              <w:spacing w:line="288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January 2020</w:t>
            </w:r>
          </w:p>
        </w:tc>
      </w:tr>
      <w:tr w:rsidR="00293783" w:rsidRPr="004D387E" w14:paraId="55386CA8" w14:textId="77777777" w:rsidTr="67E6F832">
        <w:trPr>
          <w:trHeight w:hRule="exact" w:val="387"/>
        </w:trPr>
        <w:tc>
          <w:tcPr>
            <w:tcW w:w="12961" w:type="dxa"/>
            <w:gridSpan w:val="13"/>
            <w:shd w:val="clear" w:color="auto" w:fill="auto"/>
            <w:tcMar>
              <w:top w:w="57" w:type="dxa"/>
              <w:bottom w:w="57" w:type="dxa"/>
            </w:tcMar>
          </w:tcPr>
          <w:p w14:paraId="2EC1BBBD" w14:textId="77777777" w:rsidR="00293783" w:rsidRPr="004D387E" w:rsidRDefault="00293783" w:rsidP="004D387E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594C0A6A" w14:textId="58508082" w:rsidR="00293783" w:rsidRPr="004D387E" w:rsidRDefault="00AF7E12" w:rsidP="23DB6482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  <w:t>281,835</w:t>
            </w:r>
            <w:bookmarkStart w:id="2" w:name="_GoBack"/>
            <w:bookmarkEnd w:id="2"/>
          </w:p>
        </w:tc>
      </w:tr>
      <w:tr w:rsidR="00293783" w:rsidRPr="004D387E" w14:paraId="44AE56DF" w14:textId="77777777" w:rsidTr="67E6F832">
        <w:trPr>
          <w:trHeight w:hRule="exact" w:val="480"/>
        </w:trPr>
        <w:tc>
          <w:tcPr>
            <w:tcW w:w="15586" w:type="dxa"/>
            <w:gridSpan w:val="1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AD554D" w14:textId="77777777" w:rsidR="00293783" w:rsidRPr="004D387E" w:rsidRDefault="00293783" w:rsidP="004D387E">
            <w:pPr>
              <w:numPr>
                <w:ilvl w:val="0"/>
                <w:numId w:val="1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293783" w:rsidRPr="004D387E" w14:paraId="327B7BAD" w14:textId="77777777" w:rsidTr="67E6F832"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6F477210" w14:textId="77777777" w:rsidR="00293783" w:rsidRPr="004D387E" w:rsidRDefault="0029378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Action 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EFD3D7" w14:textId="77777777" w:rsidR="00293783" w:rsidRPr="004D387E" w:rsidRDefault="0029378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Intended outcome</w:t>
            </w: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59E94AD" w14:textId="77777777" w:rsidR="00293783" w:rsidRPr="004D387E" w:rsidRDefault="0029378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FBAAC2F" w14:textId="77777777" w:rsidR="00293783" w:rsidRPr="004D387E" w:rsidRDefault="0029378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076C39CE" w14:textId="77777777" w:rsidR="00293783" w:rsidRPr="004D387E" w:rsidRDefault="0029378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5DF24630" w14:textId="6D1ED1BF" w:rsidR="00293783" w:rsidRPr="004D387E" w:rsidRDefault="23DB6482" w:rsidP="23DB6482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23DB6482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293783" w:rsidRPr="004D387E" w14:paraId="6B3A10A8" w14:textId="77777777" w:rsidTr="67E6F832">
        <w:trPr>
          <w:trHeight w:hRule="exact" w:val="1343"/>
        </w:trPr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46446654" w14:textId="5867E511" w:rsidR="00293783" w:rsidRPr="004D387E" w:rsidRDefault="00293783" w:rsidP="7FA7A041">
            <w:pPr>
              <w:spacing w:after="0"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>Provision of after school homework club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EC893D7" w14:textId="71974E32" w:rsidR="00293783" w:rsidRPr="004D387E" w:rsidRDefault="23DB6482" w:rsidP="23DB6482">
            <w:pPr>
              <w:spacing w:after="0"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>Remove excuses/confrontation for non-completion of homework.</w:t>
            </w:r>
          </w:p>
          <w:p w14:paraId="49166D1F" w14:textId="5C5F0D1B" w:rsidR="00293783" w:rsidRPr="004D387E" w:rsidRDefault="00293783" w:rsidP="7FA7A041">
            <w:pPr>
              <w:spacing w:after="0"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C48B6C6" w14:textId="2D9F8169" w:rsidR="00293783" w:rsidRPr="004D387E" w:rsidRDefault="23DB6482" w:rsidP="23DB6482">
            <w:pPr>
              <w:spacing w:after="0"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>To enhance provision in an inclusive way-removing barrier to completion of homework and having access to a member of staff to help/guide/support.</w:t>
            </w:r>
          </w:p>
          <w:p w14:paraId="3622A031" w14:textId="28222825" w:rsidR="00293783" w:rsidRPr="004D387E" w:rsidRDefault="00293783" w:rsidP="7FA7A041">
            <w:pPr>
              <w:spacing w:after="0"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 xml:space="preserve">EEF identifies that homework can add 5 months of progress. </w:t>
            </w:r>
          </w:p>
          <w:p w14:paraId="7C651879" w14:textId="64AC0CE4" w:rsidR="00293783" w:rsidRPr="004D387E" w:rsidRDefault="00315BBB" w:rsidP="7FA7A041">
            <w:pPr>
              <w:spacing w:after="0"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hyperlink r:id="rId12">
              <w:r w:rsidR="00293783" w:rsidRPr="7FA7A041">
                <w:rPr>
                  <w:rStyle w:val="Hyperlink"/>
                  <w:rFonts w:eastAsia="Arial" w:cs="Arial"/>
                  <w:color w:val="3B3838" w:themeColor="background2" w:themeShade="40"/>
                  <w:sz w:val="18"/>
                  <w:szCs w:val="18"/>
                </w:rPr>
                <w:t>https://educationendowmentfoundation.org.uk/evidence-summaries/teaching-learning-toolkit/homework-secondary/</w:t>
              </w:r>
            </w:hyperlink>
            <w:r w:rsidR="00293783" w:rsidRPr="7FA7A041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  <w:t xml:space="preserve"> </w:t>
            </w: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9CB322" w14:textId="16AABCA3" w:rsidR="00293783" w:rsidRPr="004D387E" w:rsidRDefault="00293783" w:rsidP="7FA7A041">
            <w:pPr>
              <w:spacing w:after="0"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>Amended timetable for staffing</w:t>
            </w:r>
          </w:p>
          <w:p w14:paraId="0FB20FA7" w14:textId="28ED30B7" w:rsidR="00293783" w:rsidRPr="004D387E" w:rsidRDefault="00293783" w:rsidP="7FA7A041">
            <w:pPr>
              <w:spacing w:after="0"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>Purchase of computers for the new resources room.</w:t>
            </w:r>
          </w:p>
          <w:p w14:paraId="4D68CE78" w14:textId="4AE7F950" w:rsidR="00293783" w:rsidRPr="004D387E" w:rsidRDefault="00293783" w:rsidP="7FA7A041">
            <w:pPr>
              <w:spacing w:after="0"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48C5BCD1" w14:textId="5A23C991" w:rsidR="00293783" w:rsidRPr="004D387E" w:rsidRDefault="0053511B" w:rsidP="7FA7A041">
            <w:pPr>
              <w:spacing w:after="0"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>JM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64E974FE" w14:textId="774D4D98" w:rsidR="00293783" w:rsidRPr="004D387E" w:rsidRDefault="00293783" w:rsidP="7FA7A041">
            <w:pPr>
              <w:spacing w:after="0"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>Half termly</w:t>
            </w:r>
          </w:p>
        </w:tc>
      </w:tr>
      <w:tr w:rsidR="00293783" w14:paraId="404E0F67" w14:textId="77777777" w:rsidTr="67E6F832">
        <w:trPr>
          <w:trHeight w:val="627"/>
        </w:trPr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4D17C78A" w14:textId="444FF591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747070" w:themeColor="background2" w:themeShade="7F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747070" w:themeColor="background2" w:themeShade="7F"/>
                <w:sz w:val="18"/>
                <w:szCs w:val="18"/>
                <w:lang w:eastAsia="en-GB"/>
              </w:rPr>
              <w:t xml:space="preserve">Purchase </w:t>
            </w:r>
            <w:proofErr w:type="spellStart"/>
            <w:r w:rsidRPr="7FA7A041">
              <w:rPr>
                <w:rFonts w:ascii="Arial" w:eastAsia="Times New Roman" w:hAnsi="Arial" w:cs="Arial"/>
                <w:color w:val="747070" w:themeColor="background2" w:themeShade="7F"/>
                <w:sz w:val="18"/>
                <w:szCs w:val="18"/>
                <w:lang w:eastAsia="en-GB"/>
              </w:rPr>
              <w:t>lexia</w:t>
            </w:r>
            <w:proofErr w:type="spellEnd"/>
            <w:r w:rsidRPr="7FA7A041">
              <w:rPr>
                <w:rFonts w:ascii="Arial" w:eastAsia="Times New Roman" w:hAnsi="Arial" w:cs="Arial"/>
                <w:color w:val="747070" w:themeColor="background2" w:themeShade="7F"/>
                <w:sz w:val="18"/>
                <w:szCs w:val="18"/>
                <w:lang w:eastAsia="en-GB"/>
              </w:rPr>
              <w:t xml:space="preserve"> to provide phonics interventions 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72BD883" w14:textId="77C241A7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747070" w:themeColor="background2" w:themeShade="7F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747070" w:themeColor="background2" w:themeShade="7F"/>
                <w:sz w:val="18"/>
                <w:szCs w:val="18"/>
                <w:lang w:eastAsia="en-GB"/>
              </w:rPr>
              <w:t xml:space="preserve">Improve the reading age of students </w:t>
            </w: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872195" w14:textId="53FBEA59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 xml:space="preserve">EEF identifies a 5 month gain when such </w:t>
            </w:r>
            <w:r w:rsidR="0053511B" w:rsidRPr="7FA7A041"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>interventions</w:t>
            </w:r>
            <w:r w:rsidRPr="7FA7A041"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 xml:space="preserve"> are used</w:t>
            </w:r>
          </w:p>
          <w:p w14:paraId="37BBC9F2" w14:textId="4D3BFCB7" w:rsidR="00293783" w:rsidRDefault="00315BBB" w:rsidP="7FA7A041">
            <w:pPr>
              <w:spacing w:line="288" w:lineRule="auto"/>
              <w:rPr>
                <w:sz w:val="18"/>
                <w:szCs w:val="18"/>
              </w:rPr>
            </w:pPr>
            <w:hyperlink r:id="rId13">
              <w:r w:rsidR="00293783" w:rsidRPr="7FA7A041">
                <w:rPr>
                  <w:rStyle w:val="Hyperlink"/>
                  <w:rFonts w:eastAsia="Arial" w:cs="Arial"/>
                  <w:sz w:val="18"/>
                  <w:szCs w:val="18"/>
                </w:rPr>
                <w:t>https://educationendowmentfoundation.org.uk/evidence-summaries/teaching-learning-toolkit/phonics/</w:t>
              </w:r>
            </w:hyperlink>
          </w:p>
          <w:p w14:paraId="016BF95B" w14:textId="0FAC4E75" w:rsidR="00293783" w:rsidRDefault="00293783" w:rsidP="7FA7A041">
            <w:pPr>
              <w:spacing w:line="288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49780DE" w14:textId="2AAC7ACE" w:rsidR="00293783" w:rsidRDefault="0053511B" w:rsidP="7FA7A041">
            <w:pPr>
              <w:spacing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>Led by SENCO, supported by LB.</w:t>
            </w:r>
          </w:p>
          <w:p w14:paraId="3960DFC7" w14:textId="7B7E7F01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>Interventions are started in school and pupils given home access.</w:t>
            </w:r>
          </w:p>
          <w:p w14:paraId="34930B9A" w14:textId="64200474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3847D7E2" w14:textId="529C7264" w:rsidR="00293783" w:rsidRDefault="0053511B" w:rsidP="7FA7A041">
            <w:pPr>
              <w:spacing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>Senco</w:t>
            </w:r>
            <w:proofErr w:type="spellEnd"/>
          </w:p>
        </w:tc>
        <w:tc>
          <w:tcPr>
            <w:tcW w:w="2625" w:type="dxa"/>
            <w:gridSpan w:val="2"/>
            <w:shd w:val="clear" w:color="auto" w:fill="auto"/>
          </w:tcPr>
          <w:p w14:paraId="564A9C95" w14:textId="7B67DC99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>Termly</w:t>
            </w:r>
          </w:p>
        </w:tc>
      </w:tr>
      <w:tr w:rsidR="00293783" w14:paraId="16632C97" w14:textId="77777777" w:rsidTr="67E6F832">
        <w:trPr>
          <w:trHeight w:val="627"/>
        </w:trPr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108371" w14:textId="2ADD8B97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747070" w:themeColor="background2" w:themeShade="7F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747070" w:themeColor="background2" w:themeShade="7F"/>
                <w:sz w:val="18"/>
                <w:szCs w:val="18"/>
                <w:lang w:eastAsia="en-GB"/>
              </w:rPr>
              <w:lastRenderedPageBreak/>
              <w:t xml:space="preserve">Purchase Accelerated Reading 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B111A1C" w14:textId="455D66FB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747070" w:themeColor="background2" w:themeShade="7F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747070" w:themeColor="background2" w:themeShade="7F"/>
                <w:sz w:val="18"/>
                <w:szCs w:val="18"/>
                <w:lang w:eastAsia="en-GB"/>
              </w:rPr>
              <w:t xml:space="preserve">Improve the reading age of students </w:t>
            </w: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EB0BD0C" w14:textId="4A975D85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>EEF identifies a 5 month gain when such interventions are used</w:t>
            </w:r>
          </w:p>
          <w:p w14:paraId="44397076" w14:textId="7F7FB3DD" w:rsidR="00293783" w:rsidRDefault="00315BBB" w:rsidP="7FA7A041">
            <w:pPr>
              <w:spacing w:line="288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 w:rsidR="00293783" w:rsidRPr="7FA7A041">
                <w:rPr>
                  <w:rStyle w:val="Hyperlink"/>
                  <w:rFonts w:eastAsia="Arial" w:cs="Arial"/>
                  <w:sz w:val="18"/>
                  <w:szCs w:val="18"/>
                </w:rPr>
                <w:t>https://educationendowmentfoundation.org.uk/evidence-summaries/teaching-learning-toolkit/reading-comprehension-strategies/</w:t>
              </w:r>
            </w:hyperlink>
            <w:r w:rsidR="00293783" w:rsidRPr="7FA7A04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44A5CEF" w14:textId="796D6AA6" w:rsidR="00293783" w:rsidRDefault="0053511B" w:rsidP="7FA7A041">
            <w:pPr>
              <w:spacing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>LJ</w:t>
            </w:r>
            <w:r w:rsidR="00293783" w:rsidRPr="7FA7A041"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 xml:space="preserve"> </w:t>
            </w:r>
          </w:p>
          <w:p w14:paraId="783414F3" w14:textId="7B7E7F01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>Interventions are started in school and pupils given home access.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7A9D4524" w14:textId="47E5EE16" w:rsidR="00293783" w:rsidRDefault="0053511B" w:rsidP="7FA7A041">
            <w:pPr>
              <w:spacing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>JD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476C9076" w14:textId="6818BC77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3B3838" w:themeColor="background2" w:themeShade="40"/>
                <w:sz w:val="18"/>
                <w:szCs w:val="18"/>
                <w:lang w:eastAsia="en-GB"/>
              </w:rPr>
              <w:t>Termly</w:t>
            </w:r>
          </w:p>
        </w:tc>
      </w:tr>
      <w:tr w:rsidR="00293783" w:rsidRPr="004D387E" w14:paraId="3BA3402C" w14:textId="77777777" w:rsidTr="67E6F832">
        <w:trPr>
          <w:trHeight w:hRule="exact" w:val="1267"/>
        </w:trPr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2D9DFBD0" w14:textId="56E77011" w:rsidR="00293783" w:rsidRPr="004D387E" w:rsidRDefault="23DB6482" w:rsidP="23DB6482">
            <w:pPr>
              <w:spacing w:after="0"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>Access to free breakfast provision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0D21AEE" w14:textId="4B351173" w:rsidR="00293783" w:rsidRPr="004D387E" w:rsidRDefault="23DB6482" w:rsidP="23DB6482">
            <w:pPr>
              <w:spacing w:after="0"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 xml:space="preserve">Improved attendance, punctuality, nutrition </w:t>
            </w:r>
            <w:r w:rsidR="00F477D8" w:rsidRPr="23DB648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 xml:space="preserve">and </w:t>
            </w:r>
            <w:proofErr w:type="spellStart"/>
            <w:r w:rsidR="00F477D8" w:rsidRPr="23DB648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>behavoiur</w:t>
            </w:r>
            <w:proofErr w:type="spellEnd"/>
            <w:r w:rsidRPr="23DB648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BB70A9A" w14:textId="51B5081E" w:rsidR="00293783" w:rsidRPr="004D387E" w:rsidRDefault="00315BBB" w:rsidP="23DB6482">
            <w:pPr>
              <w:spacing w:after="0"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  <w:hyperlink r:id="rId15">
              <w:r w:rsidR="23DB6482" w:rsidRPr="23DB6482">
                <w:rPr>
                  <w:rStyle w:val="Hyperlink"/>
                  <w:rFonts w:eastAsia="Arial" w:cs="Arial"/>
                  <w:color w:val="3B3838" w:themeColor="background2" w:themeShade="40"/>
                  <w:sz w:val="18"/>
                  <w:szCs w:val="18"/>
                </w:rPr>
                <w:t>https://www.ncbi.nlm.nih.gov/pmc/articles/PMC3737458/</w:t>
              </w:r>
            </w:hyperlink>
            <w:r w:rsidR="00F477D8">
              <w:rPr>
                <w:rStyle w:val="Hyperlink"/>
                <w:rFonts w:eastAsia="Arial" w:cs="Arial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375FD110" w14:textId="6CF13AC2" w:rsidR="00293783" w:rsidRPr="004D387E" w:rsidRDefault="00293783" w:rsidP="23DB6482">
            <w:pPr>
              <w:spacing w:after="0"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EBFAE50" w14:textId="6DB21C0B" w:rsidR="00293783" w:rsidRPr="004D387E" w:rsidRDefault="23DB6482" w:rsidP="23DB6482">
            <w:pPr>
              <w:spacing w:after="0"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>Work closely with new catering provider to ensure a wide menu choice and appropriate levels of staffing.</w:t>
            </w:r>
          </w:p>
          <w:p w14:paraId="71E419EB" w14:textId="586BF74D" w:rsidR="00293783" w:rsidRPr="004D387E" w:rsidRDefault="00293783" w:rsidP="23DB6482">
            <w:pPr>
              <w:spacing w:after="0"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56C334AC" w14:textId="673AAF82" w:rsidR="00293783" w:rsidRPr="004D387E" w:rsidRDefault="23DB6482" w:rsidP="23DB6482">
            <w:pPr>
              <w:spacing w:after="0"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>PD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19C87E55" w14:textId="51327F1D" w:rsidR="00293783" w:rsidRPr="004D387E" w:rsidRDefault="23DB6482" w:rsidP="23DB6482">
            <w:pPr>
              <w:spacing w:after="0"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>Half termly</w:t>
            </w:r>
          </w:p>
        </w:tc>
      </w:tr>
      <w:tr w:rsidR="00293783" w14:paraId="103CD2E9" w14:textId="77777777" w:rsidTr="67E6F832">
        <w:trPr>
          <w:trHeight w:val="468"/>
        </w:trPr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1EE5638" w14:textId="1B05F8B5" w:rsidR="00293783" w:rsidRDefault="23DB6482" w:rsidP="23DB6482">
            <w:pPr>
              <w:spacing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 xml:space="preserve">Access to subsidised uniform 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DDF7F65" w14:textId="66BD66FE" w:rsidR="00293783" w:rsidRDefault="23DB6482" w:rsidP="23DB6482">
            <w:pPr>
              <w:spacing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>Supporting families</w:t>
            </w:r>
          </w:p>
          <w:p w14:paraId="5029E4DD" w14:textId="7A906B6F" w:rsidR="00293783" w:rsidRDefault="23DB6482" w:rsidP="23DB6482">
            <w:pPr>
              <w:spacing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 xml:space="preserve">Improving parental engagement with school </w:t>
            </w: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A5258E5" w14:textId="2BBD394B" w:rsidR="00293783" w:rsidRDefault="23DB6482" w:rsidP="23DB6482">
            <w:pPr>
              <w:spacing w:line="288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3DB648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 xml:space="preserve">Ward child poverty data indicates high levels of poverty in the immediate area. </w:t>
            </w:r>
            <w:hyperlink r:id="rId16">
              <w:r w:rsidRPr="23DB6482">
                <w:rPr>
                  <w:rStyle w:val="Hyperlink"/>
                  <w:rFonts w:eastAsia="Arial" w:cs="Arial"/>
                  <w:color w:val="212121"/>
                  <w:sz w:val="18"/>
                  <w:szCs w:val="18"/>
                </w:rPr>
                <w:t>http://www.endchildpoverty.org.uk/wp-content/uploads/2018/01/North-East_LA-and-ward-data.xlsx</w:t>
              </w:r>
            </w:hyperlink>
          </w:p>
          <w:p w14:paraId="5E1FF982" w14:textId="701D3333" w:rsidR="00293783" w:rsidRDefault="23DB6482" w:rsidP="23DB6482">
            <w:pPr>
              <w:spacing w:line="288" w:lineRule="auto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 w:rsidRPr="23DB6482">
              <w:rPr>
                <w:rFonts w:ascii="Arial" w:eastAsia="Arial" w:hAnsi="Arial" w:cs="Arial"/>
                <w:color w:val="212121"/>
                <w:sz w:val="18"/>
                <w:szCs w:val="18"/>
              </w:rPr>
              <w:t xml:space="preserve">Some parents tell us they struggle to buy the school uniform. </w:t>
            </w:r>
          </w:p>
          <w:p w14:paraId="620B5BFF" w14:textId="7C8915CA" w:rsidR="00293783" w:rsidRDefault="00293783" w:rsidP="23DB6482">
            <w:pPr>
              <w:spacing w:line="288" w:lineRule="auto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99A6791" w14:textId="6B40DFAC" w:rsidR="00293783" w:rsidRDefault="23DB6482" w:rsidP="23DB6482">
            <w:pPr>
              <w:spacing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>Ensure parents of PP students know they can claim support for basic uniform  essentials (blazer, tie)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20D6BAA2" w14:textId="139BD272" w:rsidR="00293783" w:rsidRDefault="23DB6482" w:rsidP="23DB6482">
            <w:pPr>
              <w:spacing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>PD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06A7BB21" w14:textId="2E62B6C8" w:rsidR="00293783" w:rsidRDefault="23DB6482" w:rsidP="23DB6482">
            <w:pPr>
              <w:spacing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>September 2019</w:t>
            </w:r>
          </w:p>
        </w:tc>
      </w:tr>
      <w:tr w:rsidR="550D033F" w14:paraId="3E96D0E9" w14:textId="77777777" w:rsidTr="67E6F832">
        <w:trPr>
          <w:trHeight w:val="468"/>
        </w:trPr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0383520" w14:textId="3F7F0195" w:rsidR="550D033F" w:rsidRDefault="67E6F832" w:rsidP="67E6F832">
            <w:pPr>
              <w:spacing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67E6F83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 xml:space="preserve">Appoint </w:t>
            </w:r>
            <w:proofErr w:type="gramStart"/>
            <w:r w:rsidRPr="67E6F83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>a</w:t>
            </w:r>
            <w:proofErr w:type="gramEnd"/>
            <w:r w:rsidRPr="67E6F83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 xml:space="preserve"> Y11 Progress and Pastoral Leader.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0175C52" w14:textId="7EBA7044" w:rsidR="550D033F" w:rsidRDefault="23DB6482" w:rsidP="23DB6482">
            <w:pPr>
              <w:spacing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23DB648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 xml:space="preserve">Assign underperforming PP students to Progress mentor support. </w:t>
            </w:r>
          </w:p>
          <w:p w14:paraId="6244E936" w14:textId="2CD00A93" w:rsidR="550D033F" w:rsidRDefault="550D033F" w:rsidP="23DB6482">
            <w:pPr>
              <w:spacing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660E0E5" w14:textId="5727E4E5" w:rsidR="550D033F" w:rsidRDefault="00F477D8" w:rsidP="23DB6482">
            <w:pPr>
              <w:spacing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>P8 score in 2019</w:t>
            </w:r>
            <w:r w:rsidR="23DB6482" w:rsidRPr="23DB648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 xml:space="preserve"> is negative, with a wider gap for disadvantaged students.</w:t>
            </w: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9299212" w14:textId="5A098314" w:rsidR="550D033F" w:rsidRDefault="67E6F832" w:rsidP="67E6F832">
            <w:pPr>
              <w:spacing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67E6F83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 xml:space="preserve">Weekly monitoring meetings between Progress and Pastoral Leader and </w:t>
            </w:r>
            <w:proofErr w:type="gramStart"/>
            <w:r w:rsidRPr="67E6F83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>DHT .</w:t>
            </w:r>
            <w:proofErr w:type="gramEnd"/>
          </w:p>
        </w:tc>
        <w:tc>
          <w:tcPr>
            <w:tcW w:w="1409" w:type="dxa"/>
            <w:gridSpan w:val="2"/>
            <w:shd w:val="clear" w:color="auto" w:fill="auto"/>
          </w:tcPr>
          <w:p w14:paraId="70B87DE6" w14:textId="3CFAC8B5" w:rsidR="550D033F" w:rsidRDefault="67E6F832" w:rsidP="67E6F832">
            <w:pPr>
              <w:spacing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67E6F83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>JD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6B9F923F" w14:textId="61F68140" w:rsidR="550D033F" w:rsidRDefault="00F477D8" w:rsidP="67E6F832">
            <w:pPr>
              <w:spacing w:line="288" w:lineRule="auto"/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lang w:eastAsia="en-GB"/>
              </w:rPr>
              <w:t>July 2020</w:t>
            </w:r>
          </w:p>
        </w:tc>
      </w:tr>
      <w:tr w:rsidR="67E6F832" w14:paraId="2F5867C3" w14:textId="77777777" w:rsidTr="67E6F832">
        <w:trPr>
          <w:trHeight w:val="468"/>
        </w:trPr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1D2BEB54" w14:textId="19BD3B13" w:rsidR="67E6F832" w:rsidRDefault="67E6F832" w:rsidP="67E6F832">
            <w:pPr>
              <w:spacing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67E6F83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>Access to additional learning resources/school equipment.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53E6C5A" w14:textId="03B952CC" w:rsidR="67E6F832" w:rsidRDefault="67E6F832" w:rsidP="67E6F832">
            <w:pPr>
              <w:spacing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67E6F83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>Equal access to the curriculum.</w:t>
            </w: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48E8CD3" w14:textId="23D0D626" w:rsidR="67E6F832" w:rsidRDefault="67E6F832" w:rsidP="67E6F832">
            <w:pPr>
              <w:spacing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67E6F83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 xml:space="preserve">Some students are unable to buy some of the additional materials that are required to support their learning out of school. </w:t>
            </w: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589A327" w14:textId="2502695C" w:rsidR="67E6F832" w:rsidRDefault="67E6F832" w:rsidP="67E6F832">
            <w:pPr>
              <w:spacing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67E6F83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 xml:space="preserve">DHT allocate money to departments as needs are identified. 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28C08F43" w14:textId="7DC48DB7" w:rsidR="67E6F832" w:rsidRDefault="67E6F832" w:rsidP="67E6F832">
            <w:pPr>
              <w:spacing w:line="288" w:lineRule="auto"/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67E6F832">
              <w:rPr>
                <w:rFonts w:ascii="Arial" w:eastAsia="Arial" w:hAnsi="Arial" w:cs="Arial"/>
                <w:color w:val="3B3838" w:themeColor="background2" w:themeShade="40"/>
                <w:sz w:val="18"/>
                <w:szCs w:val="18"/>
                <w:lang w:eastAsia="en-GB"/>
              </w:rPr>
              <w:t>JD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4BB689B0" w14:textId="209F3044" w:rsidR="67E6F832" w:rsidRDefault="00F477D8" w:rsidP="67E6F832">
            <w:pPr>
              <w:spacing w:line="288" w:lineRule="auto"/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  <w:lang w:eastAsia="en-GB"/>
              </w:rPr>
              <w:t>July 2020</w:t>
            </w:r>
          </w:p>
        </w:tc>
      </w:tr>
      <w:tr w:rsidR="00293783" w:rsidRPr="004D387E" w14:paraId="43E26DF1" w14:textId="77777777" w:rsidTr="67E6F832">
        <w:trPr>
          <w:trHeight w:hRule="exact" w:val="458"/>
        </w:trPr>
        <w:tc>
          <w:tcPr>
            <w:tcW w:w="12961" w:type="dxa"/>
            <w:gridSpan w:val="13"/>
            <w:shd w:val="clear" w:color="auto" w:fill="auto"/>
            <w:tcMar>
              <w:top w:w="57" w:type="dxa"/>
              <w:bottom w:w="57" w:type="dxa"/>
            </w:tcMar>
          </w:tcPr>
          <w:p w14:paraId="00E1A1CB" w14:textId="77777777" w:rsidR="00293783" w:rsidRPr="004D387E" w:rsidRDefault="00293783" w:rsidP="004D387E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6B0898FF" w14:textId="70F668A9" w:rsidR="00293783" w:rsidRPr="004D387E" w:rsidRDefault="67E6F832" w:rsidP="67E6F832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</w:pPr>
            <w:r w:rsidRPr="67E6F832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n-GB"/>
              </w:rPr>
              <w:t>95,000</w:t>
            </w:r>
          </w:p>
        </w:tc>
      </w:tr>
      <w:tr w:rsidR="00293783" w:rsidRPr="004D387E" w14:paraId="0A4BE3F4" w14:textId="77777777" w:rsidTr="67E6F832">
        <w:trPr>
          <w:trHeight w:hRule="exact" w:val="355"/>
        </w:trPr>
        <w:tc>
          <w:tcPr>
            <w:tcW w:w="15586" w:type="dxa"/>
            <w:gridSpan w:val="1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A08CF1" w14:textId="77777777" w:rsidR="00293783" w:rsidRPr="004D387E" w:rsidRDefault="00293783" w:rsidP="004D387E">
            <w:pPr>
              <w:numPr>
                <w:ilvl w:val="0"/>
                <w:numId w:val="1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293783" w:rsidRPr="004D387E" w14:paraId="1AECA89E" w14:textId="77777777" w:rsidTr="67E6F832">
        <w:trPr>
          <w:trHeight w:val="527"/>
        </w:trPr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1C74B86C" w14:textId="77777777" w:rsidR="00293783" w:rsidRPr="004D387E" w:rsidRDefault="0029378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4D3C43A" w14:textId="77777777" w:rsidR="00293783" w:rsidRPr="004D387E" w:rsidRDefault="0029378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  <w:r w:rsidRPr="004D387E" w:rsidDel="00A57C79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B1BB95E" w14:textId="77777777" w:rsidR="00293783" w:rsidRPr="004D387E" w:rsidRDefault="0029378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1A30BE3" w14:textId="77777777" w:rsidR="00293783" w:rsidRPr="004D387E" w:rsidRDefault="0029378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270BDAE8" w14:textId="77777777" w:rsidR="00293783" w:rsidRPr="004D387E" w:rsidRDefault="0029378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0CD9CF26" w14:textId="77777777" w:rsidR="00293783" w:rsidRPr="004D387E" w:rsidRDefault="00293783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293783" w:rsidRPr="004D387E" w14:paraId="29B024A0" w14:textId="77777777" w:rsidTr="67E6F832">
        <w:trPr>
          <w:trHeight w:val="497"/>
        </w:trPr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40D77A4" w14:textId="0B4566EE" w:rsidR="00293783" w:rsidRPr="004D387E" w:rsidRDefault="00293783" w:rsidP="23663F6E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</w:pPr>
            <w:r w:rsidRPr="23663F6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  <w:lastRenderedPageBreak/>
              <w:t xml:space="preserve">Subsidised music lessons 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3B37193" w14:textId="70263F70" w:rsidR="00293783" w:rsidRPr="004D387E" w:rsidRDefault="00293783" w:rsidP="23663F6E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</w:pPr>
            <w:r w:rsidRPr="23663F6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  <w:t xml:space="preserve">Create equality of opportunity for engagement in the arts </w:t>
            </w: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618C135" w14:textId="2745C44F" w:rsidR="00293783" w:rsidRPr="004D387E" w:rsidRDefault="00293783" w:rsidP="7FA7A041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  <w:t>To ensure that cost does not prohibit PP children having access to a wide range of extracurricular activities.</w:t>
            </w: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EB8FFEB" w14:textId="54A92FCD" w:rsidR="00293783" w:rsidRPr="004D387E" w:rsidRDefault="00293783" w:rsidP="7FA7A041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  <w:t>Basic teacher request form, on behalf of parents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7A3EC943" w14:textId="2CF6C39F" w:rsidR="00293783" w:rsidRPr="004D387E" w:rsidRDefault="0053511B" w:rsidP="7FA7A041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  <w:t>JD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55BC08F3" w14:textId="3C248166" w:rsidR="00293783" w:rsidRPr="004D387E" w:rsidRDefault="0053511B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June 20</w:t>
            </w:r>
            <w:r w:rsidR="00F477D8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20</w:t>
            </w:r>
          </w:p>
        </w:tc>
      </w:tr>
      <w:tr w:rsidR="00293783" w:rsidRPr="004D387E" w14:paraId="2DE1818F" w14:textId="77777777" w:rsidTr="67E6F832">
        <w:trPr>
          <w:trHeight w:val="449"/>
        </w:trPr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6579D980" w14:textId="5C99247A" w:rsidR="00293783" w:rsidRPr="004D387E" w:rsidRDefault="00293783" w:rsidP="7FA7A041">
            <w:pPr>
              <w:spacing w:after="0" w:line="288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Subsidised revision guides and learning resources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E99F95E" w14:textId="5594DA31" w:rsidR="00293783" w:rsidRPr="004D387E" w:rsidRDefault="00293783" w:rsidP="23663F6E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</w:pPr>
            <w:r w:rsidRPr="23663F6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  <w:t xml:space="preserve">Improve outcomes by improving access to out of school study opportunities </w:t>
            </w: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40033E9" w14:textId="56903DD5" w:rsidR="00293783" w:rsidRPr="004D387E" w:rsidRDefault="00293783" w:rsidP="7FA7A041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  <w:t>Lack of learning resources and books at home</w:t>
            </w: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6D4444A" w14:textId="22813B21" w:rsidR="00293783" w:rsidRPr="004D387E" w:rsidRDefault="00293783" w:rsidP="7FA7A041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  <w:t>All staff are aware of how to access this funding-via central purchases.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284CB223" w14:textId="0A65DE30" w:rsidR="00293783" w:rsidRPr="004D387E" w:rsidRDefault="0053511B" w:rsidP="7FA7A041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  <w:t>JD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215AA7BB" w14:textId="4424EBA6" w:rsidR="00293783" w:rsidRPr="004D387E" w:rsidRDefault="00F477D8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June 2020</w:t>
            </w:r>
          </w:p>
        </w:tc>
      </w:tr>
      <w:tr w:rsidR="00293783" w14:paraId="0E76F5AE" w14:textId="77777777" w:rsidTr="67E6F832">
        <w:trPr>
          <w:trHeight w:val="449"/>
        </w:trPr>
        <w:tc>
          <w:tcPr>
            <w:tcW w:w="186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46ECBF78" w14:textId="7D50F78D" w:rsidR="00293783" w:rsidRDefault="00293783" w:rsidP="23663F6E">
            <w:pPr>
              <w:spacing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</w:pPr>
            <w:r w:rsidRPr="23663F6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  <w:t xml:space="preserve">Subsidised school trips </w:t>
            </w:r>
          </w:p>
        </w:tc>
        <w:tc>
          <w:tcPr>
            <w:tcW w:w="23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49A1327" w14:textId="07D3273A" w:rsidR="00293783" w:rsidRDefault="00293783" w:rsidP="23663F6E">
            <w:pPr>
              <w:spacing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</w:pPr>
            <w:r w:rsidRPr="23663F6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  <w:t xml:space="preserve">Improve attendance and enrich learning </w:t>
            </w:r>
          </w:p>
        </w:tc>
        <w:tc>
          <w:tcPr>
            <w:tcW w:w="47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0C419A" w14:textId="21B69143" w:rsidR="00293783" w:rsidRDefault="0053511B" w:rsidP="0053511B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At times there are lower levels of engagement in extracurricular activities for</w:t>
            </w:r>
            <w:r w:rsidR="00293783" w:rsidRPr="7FA7A0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PP students.</w:t>
            </w:r>
          </w:p>
        </w:tc>
        <w:tc>
          <w:tcPr>
            <w:tcW w:w="2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7EEFB70" w14:textId="35DF1248" w:rsidR="00293783" w:rsidRDefault="00293783" w:rsidP="7FA7A041">
            <w:pPr>
              <w:spacing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</w:pPr>
            <w:r w:rsidRPr="7FA7A041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  <w:t>All staff are aware of how to access this funding-via central purchases.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2DBB6CE5" w14:textId="73EF7EF8" w:rsidR="00293783" w:rsidRDefault="0053511B" w:rsidP="7FA7A041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AB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780E4913" w14:textId="1833C5CE" w:rsidR="00293783" w:rsidRDefault="00F477D8" w:rsidP="23663F6E">
            <w:pPr>
              <w:spacing w:line="288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n-GB"/>
              </w:rPr>
              <w:t>June 2020</w:t>
            </w:r>
          </w:p>
        </w:tc>
      </w:tr>
      <w:tr w:rsidR="00293783" w:rsidRPr="004D387E" w14:paraId="03871888" w14:textId="77777777" w:rsidTr="67E6F832">
        <w:tc>
          <w:tcPr>
            <w:tcW w:w="12961" w:type="dxa"/>
            <w:gridSpan w:val="13"/>
            <w:shd w:val="clear" w:color="auto" w:fill="auto"/>
            <w:tcMar>
              <w:top w:w="57" w:type="dxa"/>
              <w:bottom w:w="57" w:type="dxa"/>
            </w:tcMar>
          </w:tcPr>
          <w:p w14:paraId="3F340F82" w14:textId="77777777" w:rsidR="00293783" w:rsidRPr="004D387E" w:rsidRDefault="00293783" w:rsidP="004D387E">
            <w:pPr>
              <w:spacing w:after="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4B43CFC8" w14:textId="42DDB5B5" w:rsidR="00293783" w:rsidRPr="004D387E" w:rsidRDefault="67E6F832" w:rsidP="67E6F832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67E6F832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5,510</w:t>
            </w:r>
          </w:p>
        </w:tc>
      </w:tr>
    </w:tbl>
    <w:p w14:paraId="70C4C9F5" w14:textId="1FAB9FE7" w:rsidR="004D387E" w:rsidRPr="004D387E" w:rsidRDefault="00293783" w:rsidP="00293783">
      <w:pPr>
        <w:tabs>
          <w:tab w:val="left" w:pos="2595"/>
        </w:tabs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en-GB"/>
        </w:rPr>
        <w:tab/>
      </w:r>
    </w:p>
    <w:p w14:paraId="52A448E4" w14:textId="77777777" w:rsidR="004D387E" w:rsidRPr="004D387E" w:rsidRDefault="004D387E" w:rsidP="004D387E">
      <w:pPr>
        <w:spacing w:after="240" w:line="288" w:lineRule="auto"/>
        <w:rPr>
          <w:rFonts w:ascii="Arial" w:eastAsia="Times New Roman" w:hAnsi="Arial" w:cs="Times New Roman"/>
          <w:color w:val="0D0D0D"/>
          <w:sz w:val="24"/>
          <w:szCs w:val="24"/>
          <w:lang w:eastAsia="en-GB"/>
        </w:rPr>
      </w:pPr>
      <w:r w:rsidRPr="67E6F832">
        <w:rPr>
          <w:rFonts w:ascii="Arial" w:eastAsia="Times New Roman" w:hAnsi="Arial" w:cs="Times New Roman"/>
          <w:color w:val="0D0D0D" w:themeColor="text1" w:themeTint="F2"/>
          <w:sz w:val="24"/>
          <w:szCs w:val="24"/>
          <w:lang w:eastAsia="en-GB"/>
        </w:rPr>
        <w:br w:type="page"/>
      </w:r>
    </w:p>
    <w:sectPr w:rsidR="004D387E" w:rsidRPr="004D387E" w:rsidSect="004D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A4B"/>
    <w:multiLevelType w:val="hybridMultilevel"/>
    <w:tmpl w:val="8CDE90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8A546">
      <w:start w:val="1"/>
      <w:numFmt w:val="lowerLetter"/>
      <w:lvlText w:val="%2."/>
      <w:lvlJc w:val="left"/>
      <w:pPr>
        <w:ind w:left="1440" w:hanging="360"/>
      </w:pPr>
    </w:lvl>
    <w:lvl w:ilvl="2" w:tplc="028297D0">
      <w:start w:val="1"/>
      <w:numFmt w:val="lowerRoman"/>
      <w:lvlText w:val="%3."/>
      <w:lvlJc w:val="right"/>
      <w:pPr>
        <w:ind w:left="2160" w:hanging="180"/>
      </w:pPr>
    </w:lvl>
    <w:lvl w:ilvl="3" w:tplc="6BCC0F90">
      <w:start w:val="1"/>
      <w:numFmt w:val="decimal"/>
      <w:lvlText w:val="%4."/>
      <w:lvlJc w:val="left"/>
      <w:pPr>
        <w:ind w:left="2880" w:hanging="360"/>
      </w:pPr>
    </w:lvl>
    <w:lvl w:ilvl="4" w:tplc="476C5818">
      <w:start w:val="1"/>
      <w:numFmt w:val="lowerLetter"/>
      <w:lvlText w:val="%5."/>
      <w:lvlJc w:val="left"/>
      <w:pPr>
        <w:ind w:left="3600" w:hanging="360"/>
      </w:pPr>
    </w:lvl>
    <w:lvl w:ilvl="5" w:tplc="F45856AC">
      <w:start w:val="1"/>
      <w:numFmt w:val="lowerRoman"/>
      <w:lvlText w:val="%6."/>
      <w:lvlJc w:val="right"/>
      <w:pPr>
        <w:ind w:left="4320" w:hanging="180"/>
      </w:pPr>
    </w:lvl>
    <w:lvl w:ilvl="6" w:tplc="9208C0A2">
      <w:start w:val="1"/>
      <w:numFmt w:val="decimal"/>
      <w:lvlText w:val="%7."/>
      <w:lvlJc w:val="left"/>
      <w:pPr>
        <w:ind w:left="5040" w:hanging="360"/>
      </w:pPr>
    </w:lvl>
    <w:lvl w:ilvl="7" w:tplc="8D94F7BE">
      <w:start w:val="1"/>
      <w:numFmt w:val="lowerLetter"/>
      <w:lvlText w:val="%8."/>
      <w:lvlJc w:val="left"/>
      <w:pPr>
        <w:ind w:left="5760" w:hanging="360"/>
      </w:pPr>
    </w:lvl>
    <w:lvl w:ilvl="8" w:tplc="CD9C6D8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6E8A"/>
    <w:multiLevelType w:val="hybridMultilevel"/>
    <w:tmpl w:val="EF2E6EE2"/>
    <w:lvl w:ilvl="0" w:tplc="374022F6">
      <w:start w:val="1"/>
      <w:numFmt w:val="lowerLetter"/>
      <w:lvlText w:val="%1."/>
      <w:lvlJc w:val="left"/>
      <w:pPr>
        <w:ind w:left="720" w:hanging="360"/>
      </w:pPr>
    </w:lvl>
    <w:lvl w:ilvl="1" w:tplc="A5E4A838">
      <w:start w:val="1"/>
      <w:numFmt w:val="lowerLetter"/>
      <w:lvlText w:val="%2."/>
      <w:lvlJc w:val="left"/>
      <w:pPr>
        <w:ind w:left="1440" w:hanging="360"/>
      </w:pPr>
    </w:lvl>
    <w:lvl w:ilvl="2" w:tplc="181684C0">
      <w:start w:val="1"/>
      <w:numFmt w:val="lowerRoman"/>
      <w:lvlText w:val="%3."/>
      <w:lvlJc w:val="right"/>
      <w:pPr>
        <w:ind w:left="2160" w:hanging="180"/>
      </w:pPr>
    </w:lvl>
    <w:lvl w:ilvl="3" w:tplc="2168DCF6">
      <w:start w:val="1"/>
      <w:numFmt w:val="decimal"/>
      <w:lvlText w:val="%4."/>
      <w:lvlJc w:val="left"/>
      <w:pPr>
        <w:ind w:left="2880" w:hanging="360"/>
      </w:pPr>
    </w:lvl>
    <w:lvl w:ilvl="4" w:tplc="7FCC3B3A">
      <w:start w:val="1"/>
      <w:numFmt w:val="lowerLetter"/>
      <w:lvlText w:val="%5."/>
      <w:lvlJc w:val="left"/>
      <w:pPr>
        <w:ind w:left="3600" w:hanging="360"/>
      </w:pPr>
    </w:lvl>
    <w:lvl w:ilvl="5" w:tplc="98742E6E">
      <w:start w:val="1"/>
      <w:numFmt w:val="lowerRoman"/>
      <w:lvlText w:val="%6."/>
      <w:lvlJc w:val="right"/>
      <w:pPr>
        <w:ind w:left="4320" w:hanging="180"/>
      </w:pPr>
    </w:lvl>
    <w:lvl w:ilvl="6" w:tplc="9052FE80">
      <w:start w:val="1"/>
      <w:numFmt w:val="decimal"/>
      <w:lvlText w:val="%7."/>
      <w:lvlJc w:val="left"/>
      <w:pPr>
        <w:ind w:left="5040" w:hanging="360"/>
      </w:pPr>
    </w:lvl>
    <w:lvl w:ilvl="7" w:tplc="28105DA4">
      <w:start w:val="1"/>
      <w:numFmt w:val="lowerLetter"/>
      <w:lvlText w:val="%8."/>
      <w:lvlJc w:val="left"/>
      <w:pPr>
        <w:ind w:left="5760" w:hanging="360"/>
      </w:pPr>
    </w:lvl>
    <w:lvl w:ilvl="8" w:tplc="B3B25C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B0A91"/>
    <w:multiLevelType w:val="hybridMultilevel"/>
    <w:tmpl w:val="37EA79CE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257D5"/>
    <w:multiLevelType w:val="hybridMultilevel"/>
    <w:tmpl w:val="77E61DE6"/>
    <w:lvl w:ilvl="0" w:tplc="40DA6288">
      <w:start w:val="1"/>
      <w:numFmt w:val="lowerLetter"/>
      <w:lvlText w:val="%1."/>
      <w:lvlJc w:val="left"/>
      <w:pPr>
        <w:ind w:left="720" w:hanging="360"/>
      </w:pPr>
    </w:lvl>
    <w:lvl w:ilvl="1" w:tplc="7C08AE94">
      <w:start w:val="1"/>
      <w:numFmt w:val="lowerLetter"/>
      <w:lvlText w:val="%2."/>
      <w:lvlJc w:val="left"/>
      <w:pPr>
        <w:ind w:left="1440" w:hanging="360"/>
      </w:pPr>
    </w:lvl>
    <w:lvl w:ilvl="2" w:tplc="EA4AC75C">
      <w:start w:val="1"/>
      <w:numFmt w:val="lowerRoman"/>
      <w:lvlText w:val="%3."/>
      <w:lvlJc w:val="right"/>
      <w:pPr>
        <w:ind w:left="2160" w:hanging="180"/>
      </w:pPr>
    </w:lvl>
    <w:lvl w:ilvl="3" w:tplc="AB1E0818">
      <w:start w:val="1"/>
      <w:numFmt w:val="decimal"/>
      <w:lvlText w:val="%4."/>
      <w:lvlJc w:val="left"/>
      <w:pPr>
        <w:ind w:left="2880" w:hanging="360"/>
      </w:pPr>
    </w:lvl>
    <w:lvl w:ilvl="4" w:tplc="EF30B024">
      <w:start w:val="1"/>
      <w:numFmt w:val="lowerLetter"/>
      <w:lvlText w:val="%5."/>
      <w:lvlJc w:val="left"/>
      <w:pPr>
        <w:ind w:left="3600" w:hanging="360"/>
      </w:pPr>
    </w:lvl>
    <w:lvl w:ilvl="5" w:tplc="E440F3F0">
      <w:start w:val="1"/>
      <w:numFmt w:val="lowerRoman"/>
      <w:lvlText w:val="%6."/>
      <w:lvlJc w:val="right"/>
      <w:pPr>
        <w:ind w:left="4320" w:hanging="180"/>
      </w:pPr>
    </w:lvl>
    <w:lvl w:ilvl="6" w:tplc="F558F420">
      <w:start w:val="1"/>
      <w:numFmt w:val="decimal"/>
      <w:lvlText w:val="%7."/>
      <w:lvlJc w:val="left"/>
      <w:pPr>
        <w:ind w:left="5040" w:hanging="360"/>
      </w:pPr>
    </w:lvl>
    <w:lvl w:ilvl="7" w:tplc="0394AD38">
      <w:start w:val="1"/>
      <w:numFmt w:val="lowerLetter"/>
      <w:lvlText w:val="%8."/>
      <w:lvlJc w:val="left"/>
      <w:pPr>
        <w:ind w:left="5760" w:hanging="360"/>
      </w:pPr>
    </w:lvl>
    <w:lvl w:ilvl="8" w:tplc="EE14368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A1D8C"/>
    <w:multiLevelType w:val="hybridMultilevel"/>
    <w:tmpl w:val="69A67704"/>
    <w:lvl w:ilvl="0" w:tplc="52865034">
      <w:start w:val="1"/>
      <w:numFmt w:val="lowerLetter"/>
      <w:lvlText w:val="%1."/>
      <w:lvlJc w:val="left"/>
      <w:pPr>
        <w:ind w:left="720" w:hanging="360"/>
      </w:pPr>
    </w:lvl>
    <w:lvl w:ilvl="1" w:tplc="436A90D6">
      <w:start w:val="1"/>
      <w:numFmt w:val="lowerLetter"/>
      <w:lvlText w:val="%2."/>
      <w:lvlJc w:val="left"/>
      <w:pPr>
        <w:ind w:left="1440" w:hanging="360"/>
      </w:pPr>
    </w:lvl>
    <w:lvl w:ilvl="2" w:tplc="FAECCD78">
      <w:start w:val="1"/>
      <w:numFmt w:val="lowerRoman"/>
      <w:lvlText w:val="%3."/>
      <w:lvlJc w:val="right"/>
      <w:pPr>
        <w:ind w:left="2160" w:hanging="180"/>
      </w:pPr>
    </w:lvl>
    <w:lvl w:ilvl="3" w:tplc="F4420B30">
      <w:start w:val="1"/>
      <w:numFmt w:val="decimal"/>
      <w:lvlText w:val="%4."/>
      <w:lvlJc w:val="left"/>
      <w:pPr>
        <w:ind w:left="2880" w:hanging="360"/>
      </w:pPr>
    </w:lvl>
    <w:lvl w:ilvl="4" w:tplc="85B4F0C4">
      <w:start w:val="1"/>
      <w:numFmt w:val="lowerLetter"/>
      <w:lvlText w:val="%5."/>
      <w:lvlJc w:val="left"/>
      <w:pPr>
        <w:ind w:left="3600" w:hanging="360"/>
      </w:pPr>
    </w:lvl>
    <w:lvl w:ilvl="5" w:tplc="19100362">
      <w:start w:val="1"/>
      <w:numFmt w:val="lowerRoman"/>
      <w:lvlText w:val="%6."/>
      <w:lvlJc w:val="right"/>
      <w:pPr>
        <w:ind w:left="4320" w:hanging="180"/>
      </w:pPr>
    </w:lvl>
    <w:lvl w:ilvl="6" w:tplc="055008F8">
      <w:start w:val="1"/>
      <w:numFmt w:val="decimal"/>
      <w:lvlText w:val="%7."/>
      <w:lvlJc w:val="left"/>
      <w:pPr>
        <w:ind w:left="5040" w:hanging="360"/>
      </w:pPr>
    </w:lvl>
    <w:lvl w:ilvl="7" w:tplc="61BCD092">
      <w:start w:val="1"/>
      <w:numFmt w:val="lowerLetter"/>
      <w:lvlText w:val="%8."/>
      <w:lvlJc w:val="left"/>
      <w:pPr>
        <w:ind w:left="5760" w:hanging="360"/>
      </w:pPr>
    </w:lvl>
    <w:lvl w:ilvl="8" w:tplc="0ABE5A7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2"/>
  </w:num>
  <w:num w:numId="5">
    <w:abstractNumId w:val="8"/>
  </w:num>
  <w:num w:numId="6">
    <w:abstractNumId w:val="1"/>
  </w:num>
  <w:num w:numId="7">
    <w:abstractNumId w:val="15"/>
  </w:num>
  <w:num w:numId="8">
    <w:abstractNumId w:val="6"/>
  </w:num>
  <w:num w:numId="9">
    <w:abstractNumId w:val="10"/>
  </w:num>
  <w:num w:numId="10">
    <w:abstractNumId w:val="12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7E"/>
    <w:rsid w:val="0008196B"/>
    <w:rsid w:val="00156C57"/>
    <w:rsid w:val="002467F8"/>
    <w:rsid w:val="00293783"/>
    <w:rsid w:val="002A774B"/>
    <w:rsid w:val="002E04E7"/>
    <w:rsid w:val="00315BBB"/>
    <w:rsid w:val="003B22C0"/>
    <w:rsid w:val="004A5637"/>
    <w:rsid w:val="004D387E"/>
    <w:rsid w:val="004D7719"/>
    <w:rsid w:val="0053511B"/>
    <w:rsid w:val="00751133"/>
    <w:rsid w:val="00772F46"/>
    <w:rsid w:val="007D2A3B"/>
    <w:rsid w:val="00846DDF"/>
    <w:rsid w:val="00AF1CB5"/>
    <w:rsid w:val="00AF7E12"/>
    <w:rsid w:val="00C105CF"/>
    <w:rsid w:val="00CA5BD9"/>
    <w:rsid w:val="00D21C48"/>
    <w:rsid w:val="00D63242"/>
    <w:rsid w:val="00F258E0"/>
    <w:rsid w:val="00F31E4C"/>
    <w:rsid w:val="00F477D8"/>
    <w:rsid w:val="00FC4BD4"/>
    <w:rsid w:val="05B05396"/>
    <w:rsid w:val="23663F6E"/>
    <w:rsid w:val="23DB6482"/>
    <w:rsid w:val="355B87B6"/>
    <w:rsid w:val="4AB6214C"/>
    <w:rsid w:val="550D033F"/>
    <w:rsid w:val="5E4D2593"/>
    <w:rsid w:val="67E6F832"/>
    <w:rsid w:val="7FA7A041"/>
    <w:rsid w:val="7FC8C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7C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ducationendowmentfoundation.org.uk/evidence-summaries/teaching-learning-toolkit/behaviour-interventions/" TargetMode="External"/><Relationship Id="rId12" Type="http://schemas.openxmlformats.org/officeDocument/2006/relationships/hyperlink" Target="https://educationendowmentfoundation.org.uk/evidence-summaries/teaching-learning-toolkit/homework-secondary/" TargetMode="External"/><Relationship Id="rId13" Type="http://schemas.openxmlformats.org/officeDocument/2006/relationships/hyperlink" Target="https://educationendowmentfoundation.org.uk/evidence-summaries/teaching-learning-toolkit/phonics/" TargetMode="External"/><Relationship Id="rId14" Type="http://schemas.openxmlformats.org/officeDocument/2006/relationships/hyperlink" Target="https://educationendowmentfoundation.org.uk/evidence-summaries/teaching-learning-toolkit/reading-comprehension-strategies/" TargetMode="External"/><Relationship Id="rId15" Type="http://schemas.openxmlformats.org/officeDocument/2006/relationships/hyperlink" Target="https://www.ncbi.nlm.nih.gov/pmc/articles/PMC3737458/" TargetMode="External"/><Relationship Id="rId16" Type="http://schemas.openxmlformats.org/officeDocument/2006/relationships/hyperlink" Target="http://www.endchildpoverty.org.uk/wp-content/uploads/2018/01/North-East_LA-and-ward-data.xlsx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s://educationendowmentfoundation.org.uk/school-themes/feedback-monitoring-pupil-progress/" TargetMode="External"/><Relationship Id="rId10" Type="http://schemas.openxmlformats.org/officeDocument/2006/relationships/hyperlink" Target="https://ttrockstars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5746AEB14E245A6EBED02956BC549" ma:contentTypeVersion="4" ma:contentTypeDescription="Create a new document." ma:contentTypeScope="" ma:versionID="091ce8b75c453938366cc6fe4f093437">
  <xsd:schema xmlns:xsd="http://www.w3.org/2001/XMLSchema" xmlns:xs="http://www.w3.org/2001/XMLSchema" xmlns:p="http://schemas.microsoft.com/office/2006/metadata/properties" xmlns:ns2="6bcb1ccf-00d0-440e-968c-f8afdf413b89" xmlns:ns3="f2f3f9a7-c00a-4484-885d-a29277e65a20" targetNamespace="http://schemas.microsoft.com/office/2006/metadata/properties" ma:root="true" ma:fieldsID="039e00fc86693dbcbccd0ea8183efaae" ns2:_="" ns3:_="">
    <xsd:import namespace="6bcb1ccf-00d0-440e-968c-f8afdf413b89"/>
    <xsd:import namespace="f2f3f9a7-c00a-4484-885d-a29277e65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b1ccf-00d0-440e-968c-f8afdf413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3f9a7-c00a-4484-885d-a29277e65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f3f9a7-c00a-4484-885d-a29277e65a2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9745E4-7C26-4A05-ABBF-79AA94B7C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b1ccf-00d0-440e-968c-f8afdf413b89"/>
    <ds:schemaRef ds:uri="f2f3f9a7-c00a-4484-885d-a29277e65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7019A-1B96-4B1E-AB69-4D92ADEB0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C5067-B169-4DD3-A355-546D8CF27B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bcb1ccf-00d0-440e-968c-f8afdf413b89"/>
    <ds:schemaRef ds:uri="http://purl.org/dc/elements/1.1/"/>
    <ds:schemaRef ds:uri="http://schemas.microsoft.com/office/2006/metadata/properties"/>
    <ds:schemaRef ds:uri="http://schemas.microsoft.com/office/infopath/2007/PartnerControls"/>
    <ds:schemaRef ds:uri="f2f3f9a7-c00a-4484-885d-a29277e65a2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2506</Words>
  <Characters>14290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KETHERO, Steve</dc:creator>
  <cp:lastModifiedBy>Joanne</cp:lastModifiedBy>
  <cp:revision>2</cp:revision>
  <dcterms:created xsi:type="dcterms:W3CDTF">2020-02-05T23:11:00Z</dcterms:created>
  <dcterms:modified xsi:type="dcterms:W3CDTF">2020-02-05T23:11:00Z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0x0101000FC5746AEB14E245A6EBED02956BC549</vt:lpwstr>
  </property>
  <property fmtid="{D5CDD505-2E9C-101B-9397-08002B2CF9AE}" pid="3" name="Order">
    <vt:r8>64400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